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Letterhead"/>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szCs w:val="16"/>
          </w:rPr>
          <w:alias w:val="EC Header - Standard"/>
          <w:tag w:val="A4pCgmOjXaoPaysOY21Ij7-5QkCVxYFQ4ANGFaoRKN4I2"/>
          <w:id w:val="-867749588"/>
        </w:sdtPr>
        <w:sdtEndPr/>
        <w:sdtContent>
          <w:tr w:rsidR="00D42BFB" w14:paraId="70B8F3F6" w14:textId="77777777">
            <w:trPr>
              <w:cantSplit/>
            </w:trPr>
            <w:tc>
              <w:tcPr>
                <w:tcW w:w="2400" w:type="dxa"/>
              </w:tcPr>
              <w:p w14:paraId="3FC60824" w14:textId="77777777" w:rsidR="00D42BFB" w:rsidRDefault="007C11AA">
                <w:pPr>
                  <w:pStyle w:val="ZFlag"/>
                </w:pPr>
                <w:r>
                  <w:rPr>
                    <w:noProof/>
                  </w:rPr>
                  <w:drawing>
                    <wp:inline distT="0" distB="0" distL="0" distR="0" wp14:anchorId="3520CDE4" wp14:editId="189E0A3D">
                      <wp:extent cx="1371600" cy="676800"/>
                      <wp:effectExtent l="0" t="0" r="0" b="0"/>
                      <wp:docPr id="1"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2B3318FB" w14:textId="77777777" w:rsidR="00D42BFB" w:rsidRDefault="007542B8">
                <w:pPr>
                  <w:pStyle w:val="ZCom"/>
                </w:pPr>
                <w:sdt>
                  <w:sdtPr>
                    <w:id w:val="1378823790"/>
                    <w:dataBinding w:xpath="/Texts/OrgaRoot" w:storeItemID="{4EF90DE6-88B6-4264-9629-4D8DFDFE87D2}"/>
                    <w:text w:multiLine="1"/>
                  </w:sdtPr>
                  <w:sdtEndPr/>
                  <w:sdtContent>
                    <w:r w:rsidR="007E23E6">
                      <w:t>EUROPEAN COMMISSION</w:t>
                    </w:r>
                  </w:sdtContent>
                </w:sdt>
              </w:p>
              <w:p w14:paraId="62522F19" w14:textId="77777777" w:rsidR="00D42BFB" w:rsidRDefault="007542B8">
                <w:pPr>
                  <w:pStyle w:val="ZDGName"/>
                  <w:rPr>
                    <w:caps/>
                  </w:rPr>
                </w:pPr>
                <w:sdt>
                  <w:sdtPr>
                    <w:rPr>
                      <w:caps/>
                    </w:rPr>
                    <w:id w:val="2068601853"/>
                    <w:dataBinding w:xpath="/Author/OrgaEntity1/HeadLine1" w:storeItemID="{68A172B2-E7B5-496A-973C-8A8C981B351A}"/>
                    <w:text w:multiLine="1"/>
                  </w:sdtPr>
                  <w:sdtEndPr/>
                  <w:sdtContent>
                    <w:r w:rsidR="007E23E6">
                      <w:rPr>
                        <w:caps/>
                      </w:rPr>
                      <w:t>DIRECTORATE-GENERAL FOR INTERNAL MARKET, INDUSTRY, ENTREPRENEURSHIP</w:t>
                    </w:r>
                  </w:sdtContent>
                </w:sdt>
              </w:p>
              <w:p w14:paraId="05E5AABA" w14:textId="77777777" w:rsidR="00D42BFB" w:rsidRDefault="007542B8">
                <w:pPr>
                  <w:pStyle w:val="ZDGName"/>
                  <w:rPr>
                    <w:caps/>
                  </w:rPr>
                </w:pPr>
                <w:sdt>
                  <w:sdtPr>
                    <w:rPr>
                      <w:caps/>
                    </w:rPr>
                    <w:id w:val="1469310581"/>
                    <w:dataBinding w:xpath="/Author/OrgaEntity1/HeadLine2" w:storeItemID="{68A172B2-E7B5-496A-973C-8A8C981B351A}"/>
                    <w:text w:multiLine="1"/>
                  </w:sdtPr>
                  <w:sdtEndPr/>
                  <w:sdtContent>
                    <w:r w:rsidR="007E23E6">
                      <w:rPr>
                        <w:caps/>
                      </w:rPr>
                      <w:t>AND SMES</w:t>
                    </w:r>
                  </w:sdtContent>
                </w:sdt>
              </w:p>
              <w:p w14:paraId="56D35079" w14:textId="77777777" w:rsidR="00D42BFB" w:rsidRDefault="007542B8">
                <w:pPr>
                  <w:pStyle w:val="ZDGName"/>
                </w:pPr>
                <w:sdt>
                  <w:sdtPr>
                    <w:id w:val="-1811092210"/>
                    <w:dataBinding w:xpath="/Author/OrgaEntity2/HeadLine1" w:storeItemID="{68A172B2-E7B5-496A-973C-8A8C981B351A}"/>
                    <w:text w:multiLine="1"/>
                  </w:sdtPr>
                  <w:sdtEndPr/>
                  <w:sdtContent>
                    <w:r w:rsidR="007E23E6">
                      <w:t>Ecosystems III: Construction, Machinery and Standardisation</w:t>
                    </w:r>
                  </w:sdtContent>
                </w:sdt>
              </w:p>
              <w:p w14:paraId="03C326ED" w14:textId="77777777" w:rsidR="00D42BFB" w:rsidRDefault="007542B8">
                <w:pPr>
                  <w:pStyle w:val="ZDGName"/>
                  <w:rPr>
                    <w:b/>
                  </w:rPr>
                </w:pPr>
                <w:sdt>
                  <w:sdtPr>
                    <w:rPr>
                      <w:b/>
                    </w:rPr>
                    <w:id w:val="-1735084215"/>
                    <w:dataBinding w:xpath="/Author/OrgaEntity3/HeadLine1" w:storeItemID="{68A172B2-E7B5-496A-973C-8A8C981B351A}"/>
                    <w:text w:multiLine="1"/>
                  </w:sdtPr>
                  <w:sdtEndPr/>
                  <w:sdtContent>
                    <w:r w:rsidR="007E23E6">
                      <w:rPr>
                        <w:b/>
                      </w:rPr>
                      <w:t>H.2 – Machinery &amp; Equipment</w:t>
                    </w:r>
                  </w:sdtContent>
                </w:sdt>
              </w:p>
            </w:tc>
          </w:tr>
        </w:sdtContent>
      </w:sdt>
    </w:tbl>
    <w:p w14:paraId="0B436FB3" w14:textId="0E7F8C6B" w:rsidR="00D42BFB" w:rsidRPr="004835B3" w:rsidRDefault="004835B3">
      <w:pPr>
        <w:rPr>
          <w:b/>
          <w:bCs/>
        </w:rPr>
      </w:pPr>
      <w:r w:rsidRPr="004835B3">
        <w:rPr>
          <w:b/>
          <w:bCs/>
        </w:rPr>
        <w:t>GUIDANCE ON THE APPLICATION OF</w:t>
      </w:r>
      <w:r w:rsidR="00F5592C">
        <w:rPr>
          <w:b/>
          <w:bCs/>
        </w:rPr>
        <w:t xml:space="preserve"> THE HARMONISED STANDARDS SERIES</w:t>
      </w:r>
      <w:r w:rsidRPr="004835B3">
        <w:rPr>
          <w:b/>
          <w:bCs/>
        </w:rPr>
        <w:t xml:space="preserve"> EN 18031</w:t>
      </w:r>
      <w:r w:rsidR="00F5592C">
        <w:rPr>
          <w:b/>
          <w:bCs/>
        </w:rPr>
        <w:t>:2024</w:t>
      </w:r>
      <w:r w:rsidRPr="004835B3">
        <w:rPr>
          <w:b/>
          <w:bCs/>
        </w:rPr>
        <w:t xml:space="preserve"> IN SUPPORT OF COMMISSION DELEGATED REGULATION 2022/30</w:t>
      </w:r>
    </w:p>
    <w:p w14:paraId="742DF73C" w14:textId="1E48C9B3" w:rsidR="004835B3" w:rsidRDefault="53773ADB">
      <w:r>
        <w:t>The harmonised standards EN 18</w:t>
      </w:r>
      <w:r w:rsidR="408F20CD">
        <w:t>03</w:t>
      </w:r>
      <w:r>
        <w:t>1-1</w:t>
      </w:r>
      <w:r w:rsidR="1B53D8CC">
        <w:t>:2024</w:t>
      </w:r>
      <w:r>
        <w:t xml:space="preserve">, </w:t>
      </w:r>
      <w:r w:rsidR="1B53D8CC">
        <w:t>EN 1803</w:t>
      </w:r>
      <w:r w:rsidR="408F20CD">
        <w:t>2</w:t>
      </w:r>
      <w:r>
        <w:t>-2</w:t>
      </w:r>
      <w:r w:rsidR="408F20CD">
        <w:t>:2024</w:t>
      </w:r>
      <w:r>
        <w:t xml:space="preserve"> and</w:t>
      </w:r>
      <w:r w:rsidR="408F20CD">
        <w:t xml:space="preserve"> EN 18033-3:2024</w:t>
      </w:r>
      <w:r>
        <w:t xml:space="preserve"> are cited</w:t>
      </w:r>
      <w:r w:rsidR="1E6A2956">
        <w:t>, with some restrictions,</w:t>
      </w:r>
      <w:r>
        <w:t xml:space="preserve"> in the O</w:t>
      </w:r>
      <w:r w:rsidR="4CE8E307">
        <w:t>fficial Journal</w:t>
      </w:r>
      <w:r w:rsidR="71E3B72C">
        <w:t>,</w:t>
      </w:r>
      <w:r>
        <w:t xml:space="preserve"> in support of </w:t>
      </w:r>
      <w:r w:rsidR="06BAEFE4">
        <w:t>the essential requirements set out in Article 3 (3) (d), (e) and (f) of the R</w:t>
      </w:r>
      <w:r w:rsidR="487FE3B8">
        <w:t>a</w:t>
      </w:r>
      <w:r w:rsidR="06BAEFE4">
        <w:t>dio Equipment Directive 2024/53/EU (RED)</w:t>
      </w:r>
      <w:r w:rsidR="333BB1D8">
        <w:t>,</w:t>
      </w:r>
      <w:r w:rsidR="4F5F26E9">
        <w:t xml:space="preserve"> via </w:t>
      </w:r>
      <w:r w:rsidR="5C81962B">
        <w:t>Commission Implementing Decision (EU) 2022/2191</w:t>
      </w:r>
      <w:r w:rsidR="06BAEFE4">
        <w:t xml:space="preserve">. These </w:t>
      </w:r>
      <w:r w:rsidR="3BE9D8D3">
        <w:t>essential</w:t>
      </w:r>
      <w:r w:rsidR="06BAEFE4">
        <w:t xml:space="preserve"> </w:t>
      </w:r>
      <w:r w:rsidR="1A083644">
        <w:t>requirements</w:t>
      </w:r>
      <w:r w:rsidR="00CE239C">
        <w:t xml:space="preserve"> -</w:t>
      </w:r>
      <w:r w:rsidR="06BAEFE4">
        <w:t xml:space="preserve"> rendered </w:t>
      </w:r>
      <w:r w:rsidR="7F417313">
        <w:t>applicable</w:t>
      </w:r>
      <w:r w:rsidR="06BAEFE4">
        <w:t xml:space="preserve"> </w:t>
      </w:r>
      <w:r w:rsidR="39D28AAF">
        <w:t>through</w:t>
      </w:r>
      <w:r w:rsidR="00542414">
        <w:t xml:space="preserve"> </w:t>
      </w:r>
      <w:r>
        <w:t>Commission Delegated Regulation 2022/30</w:t>
      </w:r>
      <w:r w:rsidR="6DA2183C">
        <w:t xml:space="preserve"> (the delegated act of the Radio Equipment Directive, RED, on cybersecurity)</w:t>
      </w:r>
      <w:r w:rsidR="00CE239C">
        <w:t xml:space="preserve"> -</w:t>
      </w:r>
      <w:r w:rsidR="2840D0C6">
        <w:t xml:space="preserve"> will apply as of 1 August 2025 to classes or categories of radio equipment </w:t>
      </w:r>
      <w:r w:rsidR="5B1BFF3F">
        <w:t>specified</w:t>
      </w:r>
      <w:r w:rsidR="2840D0C6">
        <w:t xml:space="preserve"> in that </w:t>
      </w:r>
      <w:r w:rsidR="2D423EAA">
        <w:t>D</w:t>
      </w:r>
      <w:r w:rsidR="54F2A8F3">
        <w:t>elegated</w:t>
      </w:r>
      <w:r w:rsidR="2840D0C6">
        <w:t xml:space="preserve"> </w:t>
      </w:r>
      <w:r w:rsidR="28ACCC47">
        <w:t>R</w:t>
      </w:r>
      <w:r w:rsidR="19F21CAE">
        <w:t>egulation</w:t>
      </w:r>
      <w:r>
        <w:t>.</w:t>
      </w:r>
      <w:r w:rsidR="00542414">
        <w:t xml:space="preserve"> </w:t>
      </w:r>
      <w:r>
        <w:t>The purpose of this document is to provide guidance on the application of the harmonised standards</w:t>
      </w:r>
      <w:r w:rsidR="2A74E2B4">
        <w:t xml:space="preserve">, taking into account the </w:t>
      </w:r>
      <w:r>
        <w:t>restrictions.</w:t>
      </w:r>
    </w:p>
    <w:p w14:paraId="21CBE813" w14:textId="3877CA49" w:rsidR="004835B3" w:rsidRDefault="3754833F" w:rsidP="00285B0D">
      <w:pPr>
        <w:pBdr>
          <w:top w:val="single" w:sz="4" w:space="1" w:color="auto"/>
          <w:left w:val="single" w:sz="4" w:space="4" w:color="auto"/>
          <w:bottom w:val="single" w:sz="4" w:space="1" w:color="auto"/>
          <w:right w:val="single" w:sz="4" w:space="4" w:color="auto"/>
        </w:pBdr>
        <w:rPr>
          <w:szCs w:val="24"/>
        </w:rPr>
      </w:pPr>
      <w:r>
        <w:t xml:space="preserve">Important notice: </w:t>
      </w:r>
      <w:r w:rsidR="6E521AA5" w:rsidRPr="7B7C8E7C">
        <w:rPr>
          <w:szCs w:val="24"/>
        </w:rPr>
        <w:t>This document is intended only as a guidance document. The binding interpretation of European Union (EU) legislation is the exclusive competence of the Court of Justice of the EU.</w:t>
      </w:r>
    </w:p>
    <w:p w14:paraId="1BE3F180" w14:textId="5D01766B" w:rsidR="004D5957" w:rsidRPr="00E23538" w:rsidRDefault="00BA35C3" w:rsidP="00B3020A">
      <w:pPr>
        <w:shd w:val="clear" w:color="auto" w:fill="C1E4F5" w:themeFill="accent1" w:themeFillTint="33"/>
        <w:rPr>
          <w:b/>
          <w:bCs/>
        </w:rPr>
      </w:pPr>
      <w:r w:rsidRPr="00E23538">
        <w:rPr>
          <w:b/>
          <w:bCs/>
        </w:rPr>
        <w:t>RESTRICTION 1. The sections named ‘rationale’ and ‘guidance’ do not confer a presumption of conformity with the essential requirement set out in Article 3(3), first subparagraph, point (d)</w:t>
      </w:r>
      <w:r w:rsidR="00E23538" w:rsidRPr="00E23538">
        <w:rPr>
          <w:b/>
          <w:bCs/>
        </w:rPr>
        <w:t>, (e) and (f)</w:t>
      </w:r>
      <w:r w:rsidRPr="00E23538">
        <w:rPr>
          <w:b/>
          <w:bCs/>
        </w:rPr>
        <w:t>, of Directive 2014/53/EU.</w:t>
      </w:r>
    </w:p>
    <w:p w14:paraId="32035C9C" w14:textId="01771F1D" w:rsidR="004D5957" w:rsidRPr="00B3020A" w:rsidRDefault="00E23538">
      <w:pPr>
        <w:rPr>
          <w:b/>
          <w:bCs/>
        </w:rPr>
      </w:pPr>
      <w:r w:rsidRPr="00B3020A">
        <w:rPr>
          <w:b/>
          <w:bCs/>
        </w:rPr>
        <w:t xml:space="preserve">Which harmonised standards </w:t>
      </w:r>
      <w:r w:rsidR="00B3020A" w:rsidRPr="00B3020A">
        <w:rPr>
          <w:b/>
          <w:bCs/>
        </w:rPr>
        <w:t>this restriction is applied to?</w:t>
      </w:r>
    </w:p>
    <w:p w14:paraId="31E6D276" w14:textId="09A69878" w:rsidR="00B3020A" w:rsidRDefault="00B3020A">
      <w:r>
        <w:t xml:space="preserve">The restriction is applied to the three harmonised standards, </w:t>
      </w:r>
      <w:r w:rsidR="00BC75FF">
        <w:t>EN 18031-1:2024, EN 1803</w:t>
      </w:r>
      <w:r w:rsidR="007542B8">
        <w:t>1</w:t>
      </w:r>
      <w:r w:rsidR="00BC75FF">
        <w:t>-2:2024 and EN 1803</w:t>
      </w:r>
      <w:r w:rsidR="007542B8">
        <w:t>1</w:t>
      </w:r>
      <w:r w:rsidR="00BC75FF">
        <w:t>-3:2024</w:t>
      </w:r>
      <w:r>
        <w:t>.</w:t>
      </w:r>
    </w:p>
    <w:p w14:paraId="00F987CD" w14:textId="371B001A" w:rsidR="00B3020A" w:rsidRPr="00B3020A" w:rsidRDefault="00B3020A">
      <w:pPr>
        <w:rPr>
          <w:b/>
          <w:bCs/>
        </w:rPr>
      </w:pPr>
      <w:r w:rsidRPr="00B3020A">
        <w:rPr>
          <w:b/>
          <w:bCs/>
        </w:rPr>
        <w:t>What is the rationale of the restriction?</w:t>
      </w:r>
    </w:p>
    <w:p w14:paraId="1F38CB03" w14:textId="2D27BC8B" w:rsidR="00B3020A" w:rsidRDefault="00BA5353">
      <w:r w:rsidRPr="00BA5353">
        <w:t>The section</w:t>
      </w:r>
      <w:r>
        <w:t>s</w:t>
      </w:r>
      <w:r w:rsidRPr="00BA5353">
        <w:t xml:space="preserve"> named ‘rationale’ aim to provide a justification for the need to address certain risks. The section</w:t>
      </w:r>
      <w:r w:rsidR="00997815">
        <w:t>s</w:t>
      </w:r>
      <w:r w:rsidRPr="00BA5353">
        <w:t xml:space="preserve"> named ‘guidance’ include examples and considerations on the possibilities to implement certain mitigation measures. Neither of the two afore</w:t>
      </w:r>
      <w:r w:rsidR="005518AF">
        <w:t xml:space="preserve"> </w:t>
      </w:r>
      <w:r w:rsidRPr="00BA5353">
        <w:t>mentioned sections set out specifications</w:t>
      </w:r>
      <w:r>
        <w:t>.</w:t>
      </w:r>
    </w:p>
    <w:p w14:paraId="355B44C5" w14:textId="476CA608" w:rsidR="00BA5353" w:rsidRPr="00763BFE" w:rsidRDefault="00BA5353">
      <w:pPr>
        <w:rPr>
          <w:b/>
          <w:bCs/>
        </w:rPr>
      </w:pPr>
      <w:r w:rsidRPr="00763BFE">
        <w:rPr>
          <w:b/>
          <w:bCs/>
        </w:rPr>
        <w:t>Does the manufacturer need to undertake a third-party conformity assessment</w:t>
      </w:r>
      <w:r w:rsidR="00763BFE" w:rsidRPr="00763BFE">
        <w:rPr>
          <w:b/>
          <w:bCs/>
        </w:rPr>
        <w:t xml:space="preserve"> as regards th</w:t>
      </w:r>
      <w:r w:rsidR="00997815">
        <w:rPr>
          <w:b/>
          <w:bCs/>
        </w:rPr>
        <w:t>is</w:t>
      </w:r>
      <w:r w:rsidR="00763BFE" w:rsidRPr="00763BFE">
        <w:rPr>
          <w:b/>
          <w:bCs/>
        </w:rPr>
        <w:t xml:space="preserve"> restriction?</w:t>
      </w:r>
    </w:p>
    <w:p w14:paraId="15E87BD6" w14:textId="45561469" w:rsidR="00763BFE" w:rsidRDefault="00763BFE">
      <w:r>
        <w:t>No.</w:t>
      </w:r>
      <w:r w:rsidR="00427943">
        <w:t xml:space="preserve"> The aim of the restriction is to clarify that those sections</w:t>
      </w:r>
      <w:r w:rsidR="007A5EAE">
        <w:t xml:space="preserve"> are of pure informative nature, and therefore they</w:t>
      </w:r>
      <w:r w:rsidR="00427943">
        <w:t xml:space="preserve"> are not linked to presumption of conformity</w:t>
      </w:r>
      <w:r w:rsidR="007A5EAE">
        <w:t>.</w:t>
      </w:r>
    </w:p>
    <w:p w14:paraId="656A5AF7" w14:textId="23628183" w:rsidR="007A5EAE" w:rsidRPr="00E23538" w:rsidRDefault="007A5EAE" w:rsidP="007A5EAE">
      <w:pPr>
        <w:shd w:val="clear" w:color="auto" w:fill="C1E4F5" w:themeFill="accent1" w:themeFillTint="33"/>
        <w:rPr>
          <w:b/>
          <w:bCs/>
        </w:rPr>
      </w:pPr>
      <w:r w:rsidRPr="00E23538">
        <w:rPr>
          <w:b/>
          <w:bCs/>
        </w:rPr>
        <w:t xml:space="preserve">RESTRICTION </w:t>
      </w:r>
      <w:r w:rsidR="007B56E7">
        <w:rPr>
          <w:b/>
          <w:bCs/>
        </w:rPr>
        <w:t>2</w:t>
      </w:r>
      <w:r w:rsidRPr="00E23538">
        <w:rPr>
          <w:b/>
          <w:bCs/>
        </w:rPr>
        <w:t xml:space="preserve">. </w:t>
      </w:r>
      <w:r w:rsidR="007B56E7" w:rsidRPr="007B56E7">
        <w:rPr>
          <w:b/>
          <w:bCs/>
        </w:rPr>
        <w:t xml:space="preserve">This harmonised standard does not confer a presumption of conformity with Article 3(3), first subparagraph, point </w:t>
      </w:r>
      <w:r w:rsidR="007B56E7">
        <w:rPr>
          <w:b/>
          <w:bCs/>
        </w:rPr>
        <w:t xml:space="preserve">(d), </w:t>
      </w:r>
      <w:r w:rsidR="007B56E7" w:rsidRPr="007B56E7">
        <w:rPr>
          <w:b/>
          <w:bCs/>
        </w:rPr>
        <w:t>(e)</w:t>
      </w:r>
      <w:r w:rsidR="007B56E7">
        <w:rPr>
          <w:b/>
          <w:bCs/>
        </w:rPr>
        <w:t xml:space="preserve"> and (f)</w:t>
      </w:r>
      <w:r w:rsidR="007B56E7" w:rsidRPr="007B56E7">
        <w:rPr>
          <w:b/>
          <w:bCs/>
        </w:rPr>
        <w:t>, of Directive 2014/53/EU if, by applying its clauses 6.2.5.1 and 6.2.5.2, the user is allowed not to set and use any password.</w:t>
      </w:r>
    </w:p>
    <w:p w14:paraId="2262055A" w14:textId="77777777" w:rsidR="007B56E7" w:rsidRPr="00B3020A" w:rsidRDefault="007B56E7" w:rsidP="007B56E7">
      <w:pPr>
        <w:rPr>
          <w:b/>
          <w:bCs/>
        </w:rPr>
      </w:pPr>
      <w:r w:rsidRPr="00B3020A">
        <w:rPr>
          <w:b/>
          <w:bCs/>
        </w:rPr>
        <w:t>Which harmonised standards this restriction is applied to?</w:t>
      </w:r>
    </w:p>
    <w:p w14:paraId="2574110F" w14:textId="44346DF8" w:rsidR="007B56E7" w:rsidRDefault="007B56E7" w:rsidP="007B56E7">
      <w:r>
        <w:t xml:space="preserve">The restriction is applied to the three harmonised standards, </w:t>
      </w:r>
      <w:r w:rsidR="00BC75FF">
        <w:t>EN 18031-1:2024, EN 18032-2:2024 and EN 18033-3:2024</w:t>
      </w:r>
      <w:r>
        <w:t>.</w:t>
      </w:r>
    </w:p>
    <w:p w14:paraId="422088E2" w14:textId="77777777" w:rsidR="003A4428" w:rsidRDefault="003A4428" w:rsidP="007B56E7">
      <w:pPr>
        <w:rPr>
          <w:b/>
          <w:bCs/>
        </w:rPr>
      </w:pPr>
    </w:p>
    <w:p w14:paraId="70BF2B3D" w14:textId="6B2D40EC" w:rsidR="007B56E7" w:rsidRPr="00B3020A" w:rsidRDefault="007B56E7" w:rsidP="007B56E7">
      <w:pPr>
        <w:rPr>
          <w:b/>
          <w:bCs/>
        </w:rPr>
      </w:pPr>
      <w:r w:rsidRPr="00B3020A">
        <w:rPr>
          <w:b/>
          <w:bCs/>
        </w:rPr>
        <w:lastRenderedPageBreak/>
        <w:t>What is the rationale of the restriction?</w:t>
      </w:r>
    </w:p>
    <w:p w14:paraId="70EAA53D" w14:textId="0C63960F" w:rsidR="007B56E7" w:rsidRDefault="00CF2BA9" w:rsidP="007B56E7">
      <w:r w:rsidRPr="00CF2BA9">
        <w:t xml:space="preserve">Clauses 6.2.5.1 and 6.2.5.2 </w:t>
      </w:r>
      <w:r>
        <w:t xml:space="preserve">of the three harmonised standards </w:t>
      </w:r>
      <w:r w:rsidRPr="00CF2BA9">
        <w:t>deal with default passwords. Those clauses offer manufacturers the possibility to allow a user not to set or use any password. It is considered that, if this option is implemented, the relevant authentication risks will not be properly addressed and therefore conformity with the essential requirements set out in Article</w:t>
      </w:r>
      <w:r w:rsidR="00E6736C">
        <w:t>s</w:t>
      </w:r>
      <w:r w:rsidRPr="00CF2BA9">
        <w:t xml:space="preserve"> 3(3)(d), (e) and (f), of</w:t>
      </w:r>
      <w:r w:rsidR="00E6736C">
        <w:t xml:space="preserve"> the RED</w:t>
      </w:r>
      <w:r w:rsidRPr="00CF2BA9">
        <w:t xml:space="preserve"> would not be ensured.</w:t>
      </w:r>
    </w:p>
    <w:p w14:paraId="74D20C85" w14:textId="77777777" w:rsidR="007B56E7" w:rsidRPr="00763BFE" w:rsidRDefault="007B56E7" w:rsidP="007B56E7">
      <w:pPr>
        <w:rPr>
          <w:b/>
          <w:bCs/>
        </w:rPr>
      </w:pPr>
      <w:r w:rsidRPr="00763BFE">
        <w:rPr>
          <w:b/>
          <w:bCs/>
        </w:rPr>
        <w:t>Does the manufacturer need to undertake a third-party conformity assessment as regards th</w:t>
      </w:r>
      <w:r>
        <w:rPr>
          <w:b/>
          <w:bCs/>
        </w:rPr>
        <w:t>is</w:t>
      </w:r>
      <w:r w:rsidRPr="00763BFE">
        <w:rPr>
          <w:b/>
          <w:bCs/>
        </w:rPr>
        <w:t xml:space="preserve"> restriction?</w:t>
      </w:r>
    </w:p>
    <w:p w14:paraId="393731CB" w14:textId="334CBCAC" w:rsidR="007B56E7" w:rsidRDefault="6682A281" w:rsidP="007B56E7">
      <w:r>
        <w:t xml:space="preserve">No if the </w:t>
      </w:r>
      <w:r w:rsidR="00A22B68">
        <w:t xml:space="preserve">manufacturer </w:t>
      </w:r>
      <w:r w:rsidR="0F1333AA">
        <w:t>disregards the possibility of</w:t>
      </w:r>
      <w:r w:rsidR="00A22B68">
        <w:t xml:space="preserve"> clauses 6.2.5.1 and 6.2.5.2 </w:t>
      </w:r>
      <w:r w:rsidR="5C6DD75D">
        <w:t xml:space="preserve">of allowing a user </w:t>
      </w:r>
      <w:r w:rsidR="00A22B68">
        <w:t xml:space="preserve">not to </w:t>
      </w:r>
      <w:r w:rsidR="00BE4074">
        <w:t>set any password</w:t>
      </w:r>
      <w:r w:rsidR="0014440F">
        <w:t>.</w:t>
      </w:r>
    </w:p>
    <w:p w14:paraId="2C4DBB8E" w14:textId="0121A263" w:rsidR="00BC18D0" w:rsidRPr="00E23538" w:rsidRDefault="00BC18D0" w:rsidP="00BC18D0">
      <w:pPr>
        <w:shd w:val="clear" w:color="auto" w:fill="C1E4F5" w:themeFill="accent1" w:themeFillTint="33"/>
        <w:rPr>
          <w:b/>
          <w:bCs/>
        </w:rPr>
      </w:pPr>
      <w:r w:rsidRPr="00E23538">
        <w:rPr>
          <w:b/>
          <w:bCs/>
        </w:rPr>
        <w:t xml:space="preserve">RESTRICTION </w:t>
      </w:r>
      <w:r>
        <w:rPr>
          <w:b/>
          <w:bCs/>
        </w:rPr>
        <w:t>3</w:t>
      </w:r>
      <w:r w:rsidRPr="00E23538">
        <w:rPr>
          <w:b/>
          <w:bCs/>
        </w:rPr>
        <w:t xml:space="preserve">. </w:t>
      </w:r>
      <w:r w:rsidR="00B400D9" w:rsidRPr="00B400D9">
        <w:rPr>
          <w:b/>
          <w:bCs/>
        </w:rPr>
        <w:t>For the classes or categories of radio equipment covered by clause</w:t>
      </w:r>
      <w:r w:rsidR="00B400D9">
        <w:rPr>
          <w:b/>
          <w:bCs/>
        </w:rPr>
        <w:t>s</w:t>
      </w:r>
      <w:r w:rsidR="00B400D9" w:rsidRPr="00B400D9">
        <w:rPr>
          <w:b/>
          <w:bCs/>
        </w:rPr>
        <w:t xml:space="preserve"> 6.1.3, 6.1.4, 6.1.5 or 6.1.6 of this harmonised standard, this harmonised standard does not confer a presumption of conformity with the essential requirement set out in Article 3(3), first subparagraph, point (e), of Directive 2014/53/EU if, by applying its clauses 6.1.3.4.2, 6.1.4.4.2, 6.1.5.4.2 and 6.1.6.4.2, parental or guardian access control is not ensured.</w:t>
      </w:r>
    </w:p>
    <w:p w14:paraId="6D1EB04E" w14:textId="77777777" w:rsidR="00204DFC" w:rsidRPr="00B3020A" w:rsidRDefault="00204DFC" w:rsidP="00204DFC">
      <w:pPr>
        <w:rPr>
          <w:b/>
          <w:bCs/>
        </w:rPr>
      </w:pPr>
      <w:r w:rsidRPr="00B3020A">
        <w:rPr>
          <w:b/>
          <w:bCs/>
        </w:rPr>
        <w:t>Which harmonised standards this restriction is applied to?</w:t>
      </w:r>
    </w:p>
    <w:p w14:paraId="4D5E96B9" w14:textId="644185F7" w:rsidR="00204DFC" w:rsidRDefault="00204DFC" w:rsidP="00204DFC">
      <w:r>
        <w:t xml:space="preserve">The restriction is applied to harmonised standard </w:t>
      </w:r>
      <w:r w:rsidR="00BC75FF">
        <w:t>EN 18032-2:2024</w:t>
      </w:r>
      <w:r>
        <w:t>.</w:t>
      </w:r>
    </w:p>
    <w:p w14:paraId="40C910BF" w14:textId="77777777" w:rsidR="00204DFC" w:rsidRPr="00B3020A" w:rsidRDefault="00204DFC" w:rsidP="00204DFC">
      <w:pPr>
        <w:rPr>
          <w:b/>
          <w:bCs/>
        </w:rPr>
      </w:pPr>
      <w:r w:rsidRPr="00B3020A">
        <w:rPr>
          <w:b/>
          <w:bCs/>
        </w:rPr>
        <w:t>What is the rationale of the restriction?</w:t>
      </w:r>
    </w:p>
    <w:p w14:paraId="7C944B8C" w14:textId="646B8BBC" w:rsidR="00204DFC" w:rsidRDefault="00C6486C" w:rsidP="00204DFC">
      <w:r w:rsidRPr="0069002C">
        <w:rPr>
          <w:lang w:val="en-IE"/>
        </w:rPr>
        <w:t>Clauses 6.1.3, 6.1.4, 6.1.5 and 6.1.6 of harmonised standard EN 18031-2:2024 include specifications on access control mechanism</w:t>
      </w:r>
      <w:r w:rsidR="0036132D">
        <w:rPr>
          <w:lang w:val="en-IE"/>
        </w:rPr>
        <w:t>s</w:t>
      </w:r>
      <w:r w:rsidRPr="0069002C">
        <w:rPr>
          <w:lang w:val="en-IE"/>
        </w:rPr>
        <w:t xml:space="preserve"> for toy radio equipment and for childcare radio equipment. More specifically, the implementation categories described under the subsections ‘assessment criteria’ are the following: role-based access control, discretionary access control, mandatory access control or others. Certain of these categories might not be compatible with parental or guardian control. In such a case, it is considered that, if parental or guardian control is not implemented, the relevant authentication risks will not be addressed and, therefore, conformity with the essential requirement set out in Article 3(3)(e) of </w:t>
      </w:r>
      <w:r w:rsidR="0014440F">
        <w:rPr>
          <w:lang w:val="en-IE"/>
        </w:rPr>
        <w:t>the RED</w:t>
      </w:r>
      <w:r w:rsidRPr="0069002C">
        <w:rPr>
          <w:lang w:val="en-IE"/>
        </w:rPr>
        <w:t xml:space="preserve"> would not be ensured</w:t>
      </w:r>
      <w:r w:rsidR="009B0708">
        <w:rPr>
          <w:lang w:val="en-IE"/>
        </w:rPr>
        <w:t>.</w:t>
      </w:r>
    </w:p>
    <w:p w14:paraId="602323BB" w14:textId="77777777" w:rsidR="00204DFC" w:rsidRPr="00763BFE" w:rsidRDefault="00204DFC" w:rsidP="00204DFC">
      <w:pPr>
        <w:rPr>
          <w:b/>
          <w:bCs/>
        </w:rPr>
      </w:pPr>
      <w:r w:rsidRPr="00763BFE">
        <w:rPr>
          <w:b/>
          <w:bCs/>
        </w:rPr>
        <w:t>Does the manufacturer need to undertake a third-party conformity assessment as regards th</w:t>
      </w:r>
      <w:r>
        <w:rPr>
          <w:b/>
          <w:bCs/>
        </w:rPr>
        <w:t>is</w:t>
      </w:r>
      <w:r w:rsidRPr="00763BFE">
        <w:rPr>
          <w:b/>
          <w:bCs/>
        </w:rPr>
        <w:t xml:space="preserve"> restriction?</w:t>
      </w:r>
    </w:p>
    <w:p w14:paraId="3F1EB019" w14:textId="695F7AB7" w:rsidR="00204DFC" w:rsidRDefault="3265E6FA" w:rsidP="00204DFC">
      <w:r>
        <w:t>No, if the</w:t>
      </w:r>
      <w:r w:rsidR="0014440F">
        <w:t xml:space="preserve"> manufacturer </w:t>
      </w:r>
      <w:r w:rsidR="7024B8EB">
        <w:t>disregards the possibility of</w:t>
      </w:r>
      <w:r w:rsidR="0014440F">
        <w:t xml:space="preserve"> </w:t>
      </w:r>
      <w:r w:rsidR="0014440F" w:rsidRPr="7B7C8E7C">
        <w:rPr>
          <w:lang w:val="en-IE"/>
        </w:rPr>
        <w:t xml:space="preserve">clauses 6.1.3, 6.1.4, 6.1.5 </w:t>
      </w:r>
      <w:r w:rsidR="087887EF" w:rsidRPr="7B7C8E7C">
        <w:rPr>
          <w:lang w:val="en-IE"/>
        </w:rPr>
        <w:t xml:space="preserve">of not implementing </w:t>
      </w:r>
      <w:r w:rsidR="00296D98" w:rsidRPr="7B7C8E7C">
        <w:rPr>
          <w:lang w:val="en-IE"/>
        </w:rPr>
        <w:t>parental or guardian control</w:t>
      </w:r>
      <w:r w:rsidR="00296D98">
        <w:t>.</w:t>
      </w:r>
    </w:p>
    <w:p w14:paraId="3C488546" w14:textId="6EE18BB5" w:rsidR="002052BE" w:rsidRPr="00E23538" w:rsidRDefault="002052BE" w:rsidP="002052BE">
      <w:pPr>
        <w:shd w:val="clear" w:color="auto" w:fill="C1E4F5" w:themeFill="accent1" w:themeFillTint="33"/>
        <w:rPr>
          <w:b/>
          <w:bCs/>
        </w:rPr>
      </w:pPr>
      <w:r w:rsidRPr="00E23538">
        <w:rPr>
          <w:b/>
          <w:bCs/>
        </w:rPr>
        <w:t xml:space="preserve">RESTRICTION </w:t>
      </w:r>
      <w:r>
        <w:rPr>
          <w:b/>
          <w:bCs/>
        </w:rPr>
        <w:t>4</w:t>
      </w:r>
      <w:r w:rsidRPr="00E23538">
        <w:rPr>
          <w:b/>
          <w:bCs/>
        </w:rPr>
        <w:t xml:space="preserve">. </w:t>
      </w:r>
      <w:r w:rsidR="008610CE" w:rsidRPr="008610CE">
        <w:rPr>
          <w:b/>
          <w:bCs/>
        </w:rPr>
        <w:t>As regards the assessment criteria set out in clause 6.3.2.4 of this  harmonised standard,  this  harmonised standard does not confer a presumption of conformity with the essential requirement set out in Article 3(3), first subparagraph, point (f), of Directive 2014/53/EU</w:t>
      </w:r>
    </w:p>
    <w:p w14:paraId="1C791A0C" w14:textId="77777777" w:rsidR="008610CE" w:rsidRPr="00B3020A" w:rsidRDefault="008610CE" w:rsidP="008610CE">
      <w:pPr>
        <w:rPr>
          <w:b/>
          <w:bCs/>
        </w:rPr>
      </w:pPr>
      <w:r w:rsidRPr="00B3020A">
        <w:rPr>
          <w:b/>
          <w:bCs/>
        </w:rPr>
        <w:t>Which harmonised standards this restriction is applied to?</w:t>
      </w:r>
    </w:p>
    <w:p w14:paraId="6CE8FD4C" w14:textId="27D00CC4" w:rsidR="008610CE" w:rsidRDefault="008610CE" w:rsidP="008610CE">
      <w:r>
        <w:t xml:space="preserve">The restriction is applied to harmonised standard </w:t>
      </w:r>
      <w:r w:rsidR="00BC75FF">
        <w:t>EN 18032-3:2024</w:t>
      </w:r>
      <w:r>
        <w:t>.</w:t>
      </w:r>
    </w:p>
    <w:p w14:paraId="414A3CA1" w14:textId="77777777" w:rsidR="008610CE" w:rsidRPr="00B3020A" w:rsidRDefault="008610CE" w:rsidP="008610CE">
      <w:pPr>
        <w:rPr>
          <w:b/>
          <w:bCs/>
        </w:rPr>
      </w:pPr>
      <w:r w:rsidRPr="00B3020A">
        <w:rPr>
          <w:b/>
          <w:bCs/>
        </w:rPr>
        <w:t>What is the rationale of the restriction?</w:t>
      </w:r>
    </w:p>
    <w:p w14:paraId="5804B53E" w14:textId="6B539B36" w:rsidR="008610CE" w:rsidRDefault="00676857" w:rsidP="008610CE">
      <w:r w:rsidRPr="00676857">
        <w:rPr>
          <w:lang w:val="en-IE"/>
        </w:rPr>
        <w:t xml:space="preserve">Clause 6.3.2.4 of harmonised standard EN 18031-3:2024 includes assessment criteria for secure updates. Four different implementation categories are laid down, based on digital signatures, secure </w:t>
      </w:r>
      <w:r w:rsidRPr="00676857">
        <w:rPr>
          <w:lang w:val="en-IE"/>
        </w:rPr>
        <w:lastRenderedPageBreak/>
        <w:t xml:space="preserve">communication mechanisms, access control mechanisms or others. None of the methods alone are sufficient for the treatment of financial assets. It is considered that the assessment criteria do not properly address the relevant authentication risks and cannot therefore ensure conformity with the essential requirement set out in Article 3(3),(f), of </w:t>
      </w:r>
      <w:r w:rsidR="00D370C8">
        <w:rPr>
          <w:lang w:val="en-IE"/>
        </w:rPr>
        <w:t>the RED</w:t>
      </w:r>
      <w:r w:rsidR="008610CE">
        <w:rPr>
          <w:lang w:val="en-IE"/>
        </w:rPr>
        <w:t>.</w:t>
      </w:r>
    </w:p>
    <w:p w14:paraId="47A9F3AC" w14:textId="77777777" w:rsidR="008610CE" w:rsidRPr="00763BFE" w:rsidRDefault="008610CE" w:rsidP="008610CE">
      <w:pPr>
        <w:rPr>
          <w:b/>
          <w:bCs/>
        </w:rPr>
      </w:pPr>
      <w:r w:rsidRPr="00763BFE">
        <w:rPr>
          <w:b/>
          <w:bCs/>
        </w:rPr>
        <w:t>Does the manufacturer need to undertake a third-party conformity assessment as regards th</w:t>
      </w:r>
      <w:r>
        <w:rPr>
          <w:b/>
          <w:bCs/>
        </w:rPr>
        <w:t>is</w:t>
      </w:r>
      <w:r w:rsidRPr="00763BFE">
        <w:rPr>
          <w:b/>
          <w:bCs/>
        </w:rPr>
        <w:t xml:space="preserve"> restriction?</w:t>
      </w:r>
    </w:p>
    <w:p w14:paraId="036E4007" w14:textId="36F59C1C" w:rsidR="00BC75FF" w:rsidRDefault="00BC75FF" w:rsidP="008610CE">
      <w:r>
        <w:t xml:space="preserve">A manufacturer of products covered by </w:t>
      </w:r>
      <w:r w:rsidR="00955F59">
        <w:t xml:space="preserve">harmonised standard EN 18032-3:2024 to which clause </w:t>
      </w:r>
      <w:r w:rsidR="00955F59" w:rsidRPr="00955F59">
        <w:t>6.3.2.4</w:t>
      </w:r>
      <w:r w:rsidR="00676258">
        <w:t xml:space="preserve"> applies</w:t>
      </w:r>
      <w:r w:rsidR="00955F59">
        <w:t xml:space="preserve"> does not benefit from presumption of conformity</w:t>
      </w:r>
      <w:r w:rsidR="005D31F1">
        <w:t xml:space="preserve"> regardless of the design </w:t>
      </w:r>
      <w:r w:rsidR="00702C5F">
        <w:t>of the product</w:t>
      </w:r>
      <w:r w:rsidR="005D31F1">
        <w:t>. A third-party conformity assessment is mandatory.</w:t>
      </w:r>
    </w:p>
    <w:p w14:paraId="46AB442C" w14:textId="60AB69E5" w:rsidR="00296D98" w:rsidRPr="005D31F1" w:rsidRDefault="005D31F1" w:rsidP="005D31F1">
      <w:pPr>
        <w:shd w:val="clear" w:color="auto" w:fill="C1E4F5" w:themeFill="accent1" w:themeFillTint="33"/>
        <w:rPr>
          <w:b/>
          <w:bCs/>
        </w:rPr>
      </w:pPr>
      <w:r w:rsidRPr="005D31F1">
        <w:rPr>
          <w:b/>
          <w:bCs/>
        </w:rPr>
        <w:t>OTHER QUESTIONS</w:t>
      </w:r>
    </w:p>
    <w:p w14:paraId="18F08AB6" w14:textId="1E8BD25F" w:rsidR="00A21A81" w:rsidRDefault="00A21A81">
      <w:pPr>
        <w:rPr>
          <w:b/>
          <w:bCs/>
        </w:rPr>
      </w:pPr>
      <w:r w:rsidRPr="3A3B1670">
        <w:rPr>
          <w:b/>
          <w:bCs/>
        </w:rPr>
        <w:t xml:space="preserve">Is self-assessment </w:t>
      </w:r>
      <w:r w:rsidR="7ED351D1" w:rsidRPr="3A3B1670">
        <w:rPr>
          <w:b/>
          <w:bCs/>
        </w:rPr>
        <w:t>(</w:t>
      </w:r>
      <w:r w:rsidR="00E37A9A">
        <w:rPr>
          <w:b/>
          <w:bCs/>
        </w:rPr>
        <w:t>m</w:t>
      </w:r>
      <w:r w:rsidR="7ED351D1" w:rsidRPr="3A3B1670">
        <w:rPr>
          <w:b/>
          <w:bCs/>
        </w:rPr>
        <w:t xml:space="preserve">odule A) </w:t>
      </w:r>
      <w:r w:rsidRPr="3A3B1670">
        <w:rPr>
          <w:b/>
          <w:bCs/>
        </w:rPr>
        <w:t xml:space="preserve">allowed to demonstrate conformity with </w:t>
      </w:r>
      <w:r w:rsidR="54913D1D" w:rsidRPr="3A3B1670">
        <w:rPr>
          <w:b/>
          <w:bCs/>
        </w:rPr>
        <w:t xml:space="preserve">the essential </w:t>
      </w:r>
      <w:r w:rsidR="2998BA7B" w:rsidRPr="3A3B1670">
        <w:rPr>
          <w:b/>
          <w:bCs/>
        </w:rPr>
        <w:t>requirements</w:t>
      </w:r>
      <w:r w:rsidR="54913D1D" w:rsidRPr="3A3B1670">
        <w:rPr>
          <w:b/>
          <w:bCs/>
        </w:rPr>
        <w:t xml:space="preserve"> set out in Article 3(3) (d), (e) and (f) (</w:t>
      </w:r>
      <w:r w:rsidRPr="3A3B1670">
        <w:rPr>
          <w:b/>
          <w:bCs/>
        </w:rPr>
        <w:t>Commission Delegated Regulation 2022/30</w:t>
      </w:r>
      <w:r w:rsidR="00E37A9A">
        <w:rPr>
          <w:b/>
          <w:bCs/>
        </w:rPr>
        <w:t>)?</w:t>
      </w:r>
    </w:p>
    <w:p w14:paraId="36EC33F3" w14:textId="3B6147AD" w:rsidR="00A21A81" w:rsidRDefault="00E7415E">
      <w:r>
        <w:t xml:space="preserve">Self-assessment is allowed </w:t>
      </w:r>
      <w:r w:rsidR="00BB7A2B">
        <w:t>only if the</w:t>
      </w:r>
      <w:r w:rsidR="00A64EA3">
        <w:t xml:space="preserve"> relevant harmonised standards of the EN 18031:2024 family </w:t>
      </w:r>
      <w:r w:rsidR="0089563F">
        <w:t>is</w:t>
      </w:r>
      <w:r w:rsidR="00A64EA3">
        <w:t xml:space="preserve"> applied</w:t>
      </w:r>
      <w:r w:rsidR="00BB7A2B">
        <w:t xml:space="preserve"> </w:t>
      </w:r>
      <w:r w:rsidR="00883E85">
        <w:t xml:space="preserve">to the </w:t>
      </w:r>
      <w:r w:rsidR="00BB7A2B">
        <w:t>product and is not affected by the restrictions applied and described above.</w:t>
      </w:r>
    </w:p>
    <w:p w14:paraId="406065A9" w14:textId="387428D1" w:rsidR="00A64EA3" w:rsidRPr="00E43045" w:rsidRDefault="00A64EA3">
      <w:pPr>
        <w:rPr>
          <w:b/>
          <w:bCs/>
        </w:rPr>
      </w:pPr>
      <w:r w:rsidRPr="00E43045">
        <w:rPr>
          <w:b/>
          <w:bCs/>
        </w:rPr>
        <w:t>Can a manufacturer perform a third-party conformity assessment on a voluntary basis?</w:t>
      </w:r>
    </w:p>
    <w:p w14:paraId="74228595" w14:textId="4CEBEA00" w:rsidR="00A64EA3" w:rsidRDefault="00A64EA3">
      <w:r>
        <w:t xml:space="preserve">Yes, </w:t>
      </w:r>
      <w:r w:rsidR="008354EA">
        <w:t>this is always a possibility</w:t>
      </w:r>
      <w:r w:rsidR="00E43045">
        <w:t>.</w:t>
      </w:r>
      <w:r w:rsidR="789791B5">
        <w:t xml:space="preserve">  The applicable co</w:t>
      </w:r>
      <w:r w:rsidR="1D84B58E">
        <w:t>nformity</w:t>
      </w:r>
      <w:r w:rsidR="789791B5">
        <w:t xml:space="preserve"> assessment </w:t>
      </w:r>
      <w:r w:rsidR="1F3BC51D">
        <w:t>procedure</w:t>
      </w:r>
      <w:r w:rsidR="789791B5">
        <w:t xml:space="preserve">(s) </w:t>
      </w:r>
      <w:r w:rsidR="6E2D2833">
        <w:t>applicable</w:t>
      </w:r>
      <w:r w:rsidR="789791B5">
        <w:t xml:space="preserve"> for the </w:t>
      </w:r>
      <w:r w:rsidR="7C34DC30">
        <w:t>purposes</w:t>
      </w:r>
      <w:r w:rsidR="789791B5">
        <w:t xml:space="preserve"> of </w:t>
      </w:r>
      <w:r w:rsidR="6E7643B5">
        <w:t>demonstrating</w:t>
      </w:r>
      <w:r w:rsidR="789791B5">
        <w:t xml:space="preserve"> </w:t>
      </w:r>
      <w:r w:rsidR="3C510541">
        <w:t>compliance with</w:t>
      </w:r>
      <w:r w:rsidR="789791B5">
        <w:t xml:space="preserve"> the essential </w:t>
      </w:r>
      <w:r w:rsidR="55154FB1">
        <w:t>requirements</w:t>
      </w:r>
      <w:r w:rsidR="789791B5">
        <w:t xml:space="preserve"> of the RED are lai</w:t>
      </w:r>
      <w:r w:rsidR="4077AAE9">
        <w:t xml:space="preserve">d </w:t>
      </w:r>
      <w:r w:rsidR="789791B5">
        <w:t>do</w:t>
      </w:r>
      <w:r w:rsidR="1CCB9E39">
        <w:t>w</w:t>
      </w:r>
      <w:r w:rsidR="789791B5">
        <w:t>n in Article 17 of the RED (</w:t>
      </w:r>
      <w:r w:rsidR="0C458939">
        <w:t xml:space="preserve">for more </w:t>
      </w:r>
      <w:r w:rsidR="33C175DD">
        <w:t>details</w:t>
      </w:r>
      <w:r w:rsidR="0C458939">
        <w:t>, see section 2.6.b of the</w:t>
      </w:r>
      <w:r w:rsidR="789791B5">
        <w:t xml:space="preserve"> </w:t>
      </w:r>
      <w:r w:rsidR="62251CE0">
        <w:t>Guide to the Radio Equipment</w:t>
      </w:r>
      <w:r w:rsidR="01A1244A">
        <w:t xml:space="preserve"> Directive).</w:t>
      </w:r>
    </w:p>
    <w:p w14:paraId="163EC57E" w14:textId="0E3A53DF" w:rsidR="008354EA" w:rsidRPr="00725A4D" w:rsidRDefault="00725A4D">
      <w:pPr>
        <w:rPr>
          <w:b/>
          <w:bCs/>
        </w:rPr>
      </w:pPr>
      <w:r w:rsidRPr="00725A4D">
        <w:rPr>
          <w:b/>
          <w:bCs/>
        </w:rPr>
        <w:t>Which notified bodies are available?</w:t>
      </w:r>
    </w:p>
    <w:p w14:paraId="2B6991CF" w14:textId="4823BBA2" w:rsidR="00B8484F" w:rsidRDefault="008A04A6">
      <w:r>
        <w:t xml:space="preserve">The RED notified bodies are listed on this </w:t>
      </w:r>
      <w:hyperlink r:id="rId14">
        <w:r w:rsidRPr="7B7C8E7C">
          <w:rPr>
            <w:rStyle w:val="Hyperlink"/>
          </w:rPr>
          <w:t>link</w:t>
        </w:r>
      </w:hyperlink>
      <w:r>
        <w:t>.</w:t>
      </w:r>
      <w:r w:rsidR="00B541D8">
        <w:t xml:space="preserve"> </w:t>
      </w:r>
      <w:r w:rsidR="00F816D6">
        <w:t>O</w:t>
      </w:r>
      <w:r w:rsidR="00B541D8">
        <w:t>nly the notified bodies specifically competent on cybersecurity matters</w:t>
      </w:r>
      <w:r w:rsidR="5BB22D22">
        <w:t xml:space="preserve"> under the RED</w:t>
      </w:r>
      <w:r w:rsidR="00B541D8">
        <w:t xml:space="preserve"> are entitled to </w:t>
      </w:r>
      <w:r w:rsidR="00DC637B">
        <w:t>issue EU-type certificates under</w:t>
      </w:r>
      <w:r w:rsidR="00E65B4A">
        <w:t xml:space="preserve"> conformity</w:t>
      </w:r>
      <w:r w:rsidR="00DC637B">
        <w:t xml:space="preserve"> procedures</w:t>
      </w:r>
      <w:r w:rsidR="00E65B4A">
        <w:t xml:space="preserve"> </w:t>
      </w:r>
      <w:r w:rsidR="0056507E">
        <w:t>in accordance to</w:t>
      </w:r>
      <w:r w:rsidR="00E65B4A">
        <w:t xml:space="preserve"> </w:t>
      </w:r>
      <w:r w:rsidR="0A7679BF">
        <w:t>the RED (</w:t>
      </w:r>
      <w:r w:rsidR="006C0E0E">
        <w:t>Commission Delegated Regulation 2022/30</w:t>
      </w:r>
      <w:r w:rsidR="19805F9A">
        <w:t>)</w:t>
      </w:r>
      <w:r w:rsidR="006C0E0E">
        <w:t>.</w:t>
      </w:r>
      <w:r w:rsidR="00F5592C">
        <w:t xml:space="preserve"> On NANDO website, notified bodies can be filtered by the relevant essential requirement. Articles 3.3.d/e/f should be selected to check the approved notified bodies competent on the </w:t>
      </w:r>
      <w:r w:rsidR="25CA8659">
        <w:t>essential</w:t>
      </w:r>
      <w:r w:rsidR="7996A89F">
        <w:t xml:space="preserve"> </w:t>
      </w:r>
      <w:r w:rsidR="2B234B57">
        <w:t>requirements</w:t>
      </w:r>
      <w:r w:rsidR="7996A89F">
        <w:t xml:space="preserve"> (</w:t>
      </w:r>
      <w:r w:rsidR="00F5592C">
        <w:t>afore</w:t>
      </w:r>
      <w:r w:rsidR="00022E82">
        <w:t xml:space="preserve"> </w:t>
      </w:r>
      <w:r w:rsidR="00F5592C">
        <w:t xml:space="preserve">mentioned </w:t>
      </w:r>
      <w:r w:rsidR="5A01D80A">
        <w:t>Delegated</w:t>
      </w:r>
      <w:r w:rsidR="42BFC681">
        <w:t xml:space="preserve"> </w:t>
      </w:r>
      <w:r w:rsidR="00F5592C">
        <w:t>Regulation</w:t>
      </w:r>
      <w:r w:rsidR="3B0414A6">
        <w:t>)</w:t>
      </w:r>
      <w:r w:rsidR="007C11AA">
        <w:t>.</w:t>
      </w:r>
      <w:r w:rsidR="23BA2AEA">
        <w:t xml:space="preserve"> </w:t>
      </w:r>
      <w:r w:rsidR="002C79DB">
        <w:t>A</w:t>
      </w:r>
      <w:r w:rsidR="00DC4D4A">
        <w:t>s of</w:t>
      </w:r>
      <w:r w:rsidR="002C79DB">
        <w:t xml:space="preserve"> the date the document is issued, 24 notified bodies are competent for cybersecurity assessments under the RED.</w:t>
      </w:r>
    </w:p>
    <w:p w14:paraId="30D77B04" w14:textId="5D286C79" w:rsidR="00B8484F" w:rsidRPr="00A21A81" w:rsidRDefault="0056507E">
      <w:r>
        <w:rPr>
          <w:noProof/>
        </w:rPr>
        <mc:AlternateContent>
          <mc:Choice Requires="wps">
            <w:drawing>
              <wp:anchor distT="0" distB="0" distL="114300" distR="114300" simplePos="0" relativeHeight="251658240" behindDoc="0" locked="0" layoutInCell="1" allowOverlap="1" wp14:anchorId="72D645E1" wp14:editId="5B8E2A0F">
                <wp:simplePos x="0" y="0"/>
                <wp:positionH relativeFrom="column">
                  <wp:posOffset>-4098</wp:posOffset>
                </wp:positionH>
                <wp:positionV relativeFrom="paragraph">
                  <wp:posOffset>1111454</wp:posOffset>
                </wp:positionV>
                <wp:extent cx="6116320" cy="621102"/>
                <wp:effectExtent l="19050" t="19050" r="17780" b="26670"/>
                <wp:wrapNone/>
                <wp:docPr id="1378386730" name="Rectangle: Rounded Corners 1"/>
                <wp:cNvGraphicFramePr/>
                <a:graphic xmlns:a="http://schemas.openxmlformats.org/drawingml/2006/main">
                  <a:graphicData uri="http://schemas.microsoft.com/office/word/2010/wordprocessingShape">
                    <wps:wsp>
                      <wps:cNvSpPr/>
                      <wps:spPr>
                        <a:xfrm>
                          <a:off x="0" y="0"/>
                          <a:ext cx="6116320" cy="621102"/>
                        </a:xfrm>
                        <a:prstGeom prst="roundRect">
                          <a:avLst/>
                        </a:prstGeom>
                        <a:noFill/>
                        <a:ln w="38100"/>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4DE4F4F" id="Rectangle: Rounded Corners 1" o:spid="_x0000_s1026" style="position:absolute;margin-left:-.3pt;margin-top:87.5pt;width:481.6pt;height:48.9pt;z-index:25165824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" filled="f" strokecolor="#e97132 [3205]" strokeweight="3pt">
                <v:stroke joinstyle="miter"/>
              </v:roundrect>
            </w:pict>
          </mc:Fallback>
        </mc:AlternateContent>
      </w:r>
      <w:r w:rsidR="00B8484F">
        <w:rPr>
          <w:noProof/>
        </w:rPr>
        <w:drawing>
          <wp:inline distT="0" distB="0" distL="0" distR="0" wp14:anchorId="77144992" wp14:editId="23600A62">
            <wp:extent cx="6116320" cy="2656840"/>
            <wp:effectExtent l="0" t="0" r="0" b="0"/>
            <wp:docPr id="11173597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16320" cy="2656840"/>
                    </a:xfrm>
                    <a:prstGeom prst="rect">
                      <a:avLst/>
                    </a:prstGeom>
                    <a:noFill/>
                    <a:ln>
                      <a:noFill/>
                    </a:ln>
                  </pic:spPr>
                </pic:pic>
              </a:graphicData>
            </a:graphic>
          </wp:inline>
        </w:drawing>
      </w:r>
    </w:p>
    <w:p w14:paraId="5365095E" w14:textId="635486AF" w:rsidR="004835B3" w:rsidRPr="006040D6" w:rsidRDefault="004835B3">
      <w:pPr>
        <w:rPr>
          <w:b/>
          <w:bCs/>
        </w:rPr>
      </w:pPr>
      <w:r w:rsidRPr="006040D6">
        <w:rPr>
          <w:b/>
          <w:bCs/>
        </w:rPr>
        <w:lastRenderedPageBreak/>
        <w:t xml:space="preserve">Does the Commission </w:t>
      </w:r>
      <w:r w:rsidR="006040D6" w:rsidRPr="006040D6">
        <w:rPr>
          <w:b/>
          <w:bCs/>
        </w:rPr>
        <w:t>advise on the application of the harmonised standard</w:t>
      </w:r>
      <w:r w:rsidR="00F5592C">
        <w:rPr>
          <w:b/>
          <w:bCs/>
        </w:rPr>
        <w:t>s</w:t>
      </w:r>
      <w:r w:rsidR="006040D6" w:rsidRPr="006040D6">
        <w:rPr>
          <w:b/>
          <w:bCs/>
        </w:rPr>
        <w:t xml:space="preserve"> to specific products?</w:t>
      </w:r>
    </w:p>
    <w:p w14:paraId="24EB4F13" w14:textId="5E324806" w:rsidR="005D31F1" w:rsidRDefault="006040D6">
      <w:r>
        <w:t xml:space="preserve">No. This task </w:t>
      </w:r>
      <w:r w:rsidR="00A443E5">
        <w:t>constitutes a responsibility of the manufacturer.</w:t>
      </w:r>
    </w:p>
    <w:sectPr w:rsidR="005D31F1" w:rsidSect="005D31F1">
      <w:headerReference w:type="even" r:id="rId16"/>
      <w:headerReference w:type="default" r:id="rId17"/>
      <w:footerReference w:type="even" r:id="rId18"/>
      <w:footerReference w:type="default" r:id="rId19"/>
      <w:headerReference w:type="first" r:id="rId20"/>
      <w:footerReference w:type="first" r:id="rId21"/>
      <w:endnotePr>
        <w:numFmt w:val="lowerLetter"/>
      </w:endnotePr>
      <w:pgSz w:w="11906" w:h="16838"/>
      <w:pgMar w:top="1021" w:right="1134" w:bottom="1021" w:left="1134"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50D705" w14:textId="77777777" w:rsidR="00872216" w:rsidRDefault="00872216">
      <w:pPr>
        <w:spacing w:after="0"/>
      </w:pPr>
      <w:r>
        <w:separator/>
      </w:r>
    </w:p>
  </w:endnote>
  <w:endnote w:type="continuationSeparator" w:id="0">
    <w:p w14:paraId="19F15576" w14:textId="77777777" w:rsidR="00872216" w:rsidRDefault="00872216">
      <w:pPr>
        <w:spacing w:after="0"/>
      </w:pPr>
      <w:r>
        <w:continuationSeparator/>
      </w:r>
    </w:p>
  </w:endnote>
  <w:endnote w:type="continuationNotice" w:id="1">
    <w:p w14:paraId="19B62E24" w14:textId="77777777" w:rsidR="0027214B" w:rsidRDefault="0027214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E8CAC" w14:textId="77777777" w:rsidR="00D42BFB" w:rsidRDefault="007C11AA">
    <w:pPr>
      <w:pStyle w:val="FooterLine"/>
      <w:jc w:val="center"/>
    </w:pPr>
    <w:r>
      <w:fldChar w:fldCharType="begin"/>
    </w:r>
    <w:r>
      <w:instrText>PAGE   \* MERGEFORMAT</w:instrText>
    </w:r>
    <w:r>
      <w:fldChar w:fldCharType="separate"/>
    </w:r>
    <w:r w:rsidR="004835B3">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FE647" w14:textId="77777777" w:rsidR="00D42BFB" w:rsidRDefault="007C11AA">
    <w:pPr>
      <w:pStyle w:val="FooterLine"/>
      <w:jc w:val="center"/>
    </w:pPr>
    <w:r>
      <w:fldChar w:fldCharType="begin"/>
    </w:r>
    <w:r>
      <w:instrText>PAGE   \* MERGEFORMAT</w:instrText>
    </w:r>
    <w:r>
      <w:fldChar w:fldCharType="separate"/>
    </w:r>
    <w:r w:rsidR="004835B3">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EC Footer - Standard "/>
      <w:tag w:val="SVoGAZ38gakDmzcHmLly90-Uz5BECj2qQF70SGAMzDdI0"/>
      <w:id w:val="-1715879649"/>
    </w:sdtPr>
    <w:sdtEndPr/>
    <w:sdtContent>
      <w:p w14:paraId="077A24A0" w14:textId="77777777" w:rsidR="00D42BFB" w:rsidRDefault="00D42BFB">
        <w:pPr>
          <w:pStyle w:val="Footer"/>
          <w:rPr>
            <w:sz w:val="24"/>
          </w:rPr>
        </w:pPr>
      </w:p>
      <w:p w14:paraId="73DBCF9C" w14:textId="77777777" w:rsidR="00D42BFB" w:rsidRDefault="007542B8">
        <w:pPr>
          <w:pStyle w:val="Footer"/>
        </w:pPr>
        <w:sdt>
          <w:sdtPr>
            <w:rPr>
              <w:lang w:val="fr-BE"/>
            </w:rPr>
            <w:id w:val="313914615"/>
            <w:dataBinding w:xpath="/Author/Addresses/Address[Id = 'f03b5801-04c9-4931-aa17-c6d6c70bc579']/Footer" w:storeItemID="{68A172B2-E7B5-496A-973C-8A8C981B351A}"/>
            <w:text w:multiLine="1"/>
          </w:sdtPr>
          <w:sdtEndPr/>
          <w:sdtContent>
            <w:r w:rsidR="007E23E6" w:rsidRPr="00216EA4">
              <w:rPr>
                <w:lang w:val="fr-BE"/>
              </w:rPr>
              <w:t>Commission européenne/</w:t>
            </w:r>
            <w:proofErr w:type="spellStart"/>
            <w:r w:rsidR="007E23E6" w:rsidRPr="00216EA4">
              <w:rPr>
                <w:lang w:val="fr-BE"/>
              </w:rPr>
              <w:t>Europese</w:t>
            </w:r>
            <w:proofErr w:type="spellEnd"/>
            <w:r w:rsidR="007E23E6" w:rsidRPr="00216EA4">
              <w:rPr>
                <w:lang w:val="fr-BE"/>
              </w:rPr>
              <w:t xml:space="preserve"> </w:t>
            </w:r>
            <w:proofErr w:type="spellStart"/>
            <w:r w:rsidR="007E23E6" w:rsidRPr="00216EA4">
              <w:rPr>
                <w:lang w:val="fr-BE"/>
              </w:rPr>
              <w:t>Commissie</w:t>
            </w:r>
            <w:proofErr w:type="spellEnd"/>
            <w:r w:rsidR="007E23E6" w:rsidRPr="00216EA4">
              <w:rPr>
                <w:lang w:val="fr-BE"/>
              </w:rPr>
              <w:t>, 1049 Bruxelles/Brussel, BELGIQUE/BELGIË – Tel. +32 22991111</w:t>
            </w:r>
          </w:sdtContent>
        </w:sdt>
      </w:p>
      <w:p w14:paraId="0CA39A6C" w14:textId="77777777" w:rsidR="00D42BFB" w:rsidRDefault="007542B8">
        <w:pPr>
          <w:pStyle w:val="Foo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7D82B1" w14:textId="77777777" w:rsidR="00872216" w:rsidRDefault="00872216">
      <w:pPr>
        <w:spacing w:after="0"/>
      </w:pPr>
      <w:r>
        <w:separator/>
      </w:r>
    </w:p>
  </w:footnote>
  <w:footnote w:type="continuationSeparator" w:id="0">
    <w:p w14:paraId="03A0C331" w14:textId="77777777" w:rsidR="00872216" w:rsidRDefault="00872216">
      <w:pPr>
        <w:spacing w:after="0"/>
      </w:pPr>
      <w:r>
        <w:continuationSeparator/>
      </w:r>
    </w:p>
  </w:footnote>
  <w:footnote w:type="continuationNotice" w:id="1">
    <w:p w14:paraId="50E3735A" w14:textId="77777777" w:rsidR="0027214B" w:rsidRDefault="0027214B">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4CC4F" w14:textId="77777777" w:rsidR="00D42BFB" w:rsidRDefault="00D42B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2D8E8" w14:textId="77777777" w:rsidR="00D42BFB" w:rsidRDefault="00D42B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3D84C" w14:textId="77777777" w:rsidR="00D42BFB" w:rsidRDefault="00D42B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2900F7"/>
    <w:multiLevelType w:val="multilevel"/>
    <w:tmpl w:val="4D066BC2"/>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EFB7115"/>
    <w:multiLevelType w:val="multilevel"/>
    <w:tmpl w:val="811A63EA"/>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120B7201"/>
    <w:multiLevelType w:val="multilevel"/>
    <w:tmpl w:val="02DAE202"/>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8345"/>
    <w:multiLevelType w:val="multilevel"/>
    <w:tmpl w:val="FC1E8CD0"/>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62685D"/>
    <w:multiLevelType w:val="multilevel"/>
    <w:tmpl w:val="6A44154C"/>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43D0A16"/>
    <w:multiLevelType w:val="multilevel"/>
    <w:tmpl w:val="A7563DA8"/>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72F0AC5"/>
    <w:multiLevelType w:val="multilevel"/>
    <w:tmpl w:val="F0AA4B9A"/>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C7B624F"/>
    <w:multiLevelType w:val="multilevel"/>
    <w:tmpl w:val="00C6FDEE"/>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2C8DFDF8"/>
    <w:multiLevelType w:val="multilevel"/>
    <w:tmpl w:val="67AA6700"/>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D293CE3"/>
    <w:multiLevelType w:val="multilevel"/>
    <w:tmpl w:val="946EEB32"/>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D293CF4"/>
    <w:multiLevelType w:val="multilevel"/>
    <w:tmpl w:val="D93084F6"/>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36324F1E"/>
    <w:multiLevelType w:val="multilevel"/>
    <w:tmpl w:val="19A65566"/>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37CB1E1C"/>
    <w:multiLevelType w:val="multilevel"/>
    <w:tmpl w:val="3A820150"/>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A7730C4"/>
    <w:multiLevelType w:val="multilevel"/>
    <w:tmpl w:val="E8D851D8"/>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429E662A"/>
    <w:multiLevelType w:val="multilevel"/>
    <w:tmpl w:val="8C9A6DB0"/>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4E1A63DF"/>
    <w:multiLevelType w:val="multilevel"/>
    <w:tmpl w:val="A7366B0A"/>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E1A982C"/>
    <w:multiLevelType w:val="multilevel"/>
    <w:tmpl w:val="191CAB9E"/>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5072619B"/>
    <w:multiLevelType w:val="multilevel"/>
    <w:tmpl w:val="6B8C719E"/>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50729B52"/>
    <w:multiLevelType w:val="multilevel"/>
    <w:tmpl w:val="088434C6"/>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6977472E"/>
    <w:multiLevelType w:val="multilevel"/>
    <w:tmpl w:val="9CB4229E"/>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7C65145E"/>
    <w:multiLevelType w:val="multilevel"/>
    <w:tmpl w:val="2604C5D0"/>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202"/>
        </w:tabs>
        <w:ind w:left="1202" w:hanging="720"/>
      </w:pPr>
    </w:lvl>
    <w:lvl w:ilvl="2">
      <w:start w:val="1"/>
      <w:numFmt w:val="decimal"/>
      <w:pStyle w:val="Heading3"/>
      <w:lvlText w:val="%1.%2.%3."/>
      <w:lvlJc w:val="left"/>
      <w:pPr>
        <w:tabs>
          <w:tab w:val="num" w:pos="2438"/>
        </w:tabs>
        <w:ind w:left="2211" w:hanging="1009"/>
      </w:pPr>
    </w:lvl>
    <w:lvl w:ilvl="3">
      <w:start w:val="1"/>
      <w:numFmt w:val="decimal"/>
      <w:pStyle w:val="Heading4"/>
      <w:lvlText w:val="%1.%2.%3.%4."/>
      <w:lvlJc w:val="left"/>
      <w:pPr>
        <w:tabs>
          <w:tab w:val="num" w:pos="2438"/>
        </w:tabs>
        <w:ind w:left="2211" w:hanging="1009"/>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21"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16cid:durableId="1534272619">
    <w:abstractNumId w:val="0"/>
  </w:num>
  <w:num w:numId="2" w16cid:durableId="759370059">
    <w:abstractNumId w:val="11"/>
  </w:num>
  <w:num w:numId="3" w16cid:durableId="1959486920">
    <w:abstractNumId w:val="7"/>
  </w:num>
  <w:num w:numId="4" w16cid:durableId="1159081781">
    <w:abstractNumId w:val="12"/>
  </w:num>
  <w:num w:numId="5" w16cid:durableId="113914740">
    <w:abstractNumId w:val="17"/>
  </w:num>
  <w:num w:numId="6" w16cid:durableId="1626038832">
    <w:abstractNumId w:val="19"/>
  </w:num>
  <w:num w:numId="7" w16cid:durableId="296684552">
    <w:abstractNumId w:val="1"/>
  </w:num>
  <w:num w:numId="8" w16cid:durableId="386490448">
    <w:abstractNumId w:val="6"/>
  </w:num>
  <w:num w:numId="9" w16cid:durableId="1678117188">
    <w:abstractNumId w:val="14"/>
  </w:num>
  <w:num w:numId="10" w16cid:durableId="87119770">
    <w:abstractNumId w:val="2"/>
  </w:num>
  <w:num w:numId="11" w16cid:durableId="133986338">
    <w:abstractNumId w:val="4"/>
  </w:num>
  <w:num w:numId="12" w16cid:durableId="499581846">
    <w:abstractNumId w:val="5"/>
  </w:num>
  <w:num w:numId="13" w16cid:durableId="934552734">
    <w:abstractNumId w:val="8"/>
  </w:num>
  <w:num w:numId="14" w16cid:durableId="1051072483">
    <w:abstractNumId w:val="13"/>
  </w:num>
  <w:num w:numId="15" w16cid:durableId="1922182807">
    <w:abstractNumId w:val="16"/>
  </w:num>
  <w:num w:numId="16" w16cid:durableId="766000442">
    <w:abstractNumId w:val="20"/>
  </w:num>
  <w:num w:numId="17" w16cid:durableId="1835027378">
    <w:abstractNumId w:val="9"/>
  </w:num>
  <w:num w:numId="18" w16cid:durableId="1853758990">
    <w:abstractNumId w:val="10"/>
  </w:num>
  <w:num w:numId="19" w16cid:durableId="1998411783">
    <w:abstractNumId w:val="21"/>
  </w:num>
  <w:num w:numId="20" w16cid:durableId="1422725109">
    <w:abstractNumId w:val="15"/>
  </w:num>
  <w:num w:numId="21" w16cid:durableId="1100415283">
    <w:abstractNumId w:val="18"/>
  </w:num>
  <w:num w:numId="22" w16cid:durableId="16852047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footnotePr>
    <w:footnote w:id="-1"/>
    <w:footnote w:id="0"/>
    <w:footnote w:id="1"/>
  </w:footnotePr>
  <w:endnotePr>
    <w:numFmt w:val="lowerLette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EUROLOOK"/>
  </w:docVars>
  <w:rsids>
    <w:rsidRoot w:val="004835B3"/>
    <w:rsid w:val="00022E82"/>
    <w:rsid w:val="000F414F"/>
    <w:rsid w:val="0014440F"/>
    <w:rsid w:val="00196E1E"/>
    <w:rsid w:val="001D29DF"/>
    <w:rsid w:val="00204DFC"/>
    <w:rsid w:val="002052BE"/>
    <w:rsid w:val="00216EA4"/>
    <w:rsid w:val="0027214B"/>
    <w:rsid w:val="00285B0D"/>
    <w:rsid w:val="00296D98"/>
    <w:rsid w:val="002C79DB"/>
    <w:rsid w:val="002D229F"/>
    <w:rsid w:val="00310648"/>
    <w:rsid w:val="003375E9"/>
    <w:rsid w:val="0036132D"/>
    <w:rsid w:val="003A4428"/>
    <w:rsid w:val="003B379D"/>
    <w:rsid w:val="0040311D"/>
    <w:rsid w:val="00427943"/>
    <w:rsid w:val="004279E6"/>
    <w:rsid w:val="004835B3"/>
    <w:rsid w:val="004D5957"/>
    <w:rsid w:val="00542414"/>
    <w:rsid w:val="005518AF"/>
    <w:rsid w:val="0056507E"/>
    <w:rsid w:val="005A7DF8"/>
    <w:rsid w:val="005D31F1"/>
    <w:rsid w:val="006040D6"/>
    <w:rsid w:val="00614701"/>
    <w:rsid w:val="006315D1"/>
    <w:rsid w:val="00676258"/>
    <w:rsid w:val="00676857"/>
    <w:rsid w:val="0067765C"/>
    <w:rsid w:val="006C0E0E"/>
    <w:rsid w:val="00702C5F"/>
    <w:rsid w:val="00725A4D"/>
    <w:rsid w:val="007542B8"/>
    <w:rsid w:val="00763BFE"/>
    <w:rsid w:val="007911CF"/>
    <w:rsid w:val="007A5EAE"/>
    <w:rsid w:val="007B56E7"/>
    <w:rsid w:val="007B6DA3"/>
    <w:rsid w:val="007C11AA"/>
    <w:rsid w:val="007E23E6"/>
    <w:rsid w:val="00826A80"/>
    <w:rsid w:val="008354EA"/>
    <w:rsid w:val="008610CE"/>
    <w:rsid w:val="00872216"/>
    <w:rsid w:val="00883E85"/>
    <w:rsid w:val="0089563F"/>
    <w:rsid w:val="008A04A6"/>
    <w:rsid w:val="009437C3"/>
    <w:rsid w:val="00955F59"/>
    <w:rsid w:val="00966EC1"/>
    <w:rsid w:val="00976B24"/>
    <w:rsid w:val="00997815"/>
    <w:rsid w:val="009B0708"/>
    <w:rsid w:val="00A21A81"/>
    <w:rsid w:val="00A22B68"/>
    <w:rsid w:val="00A443E5"/>
    <w:rsid w:val="00A62A69"/>
    <w:rsid w:val="00A64EA3"/>
    <w:rsid w:val="00A85DC9"/>
    <w:rsid w:val="00AF2B68"/>
    <w:rsid w:val="00B3020A"/>
    <w:rsid w:val="00B400D9"/>
    <w:rsid w:val="00B541D8"/>
    <w:rsid w:val="00B8484F"/>
    <w:rsid w:val="00BA35C3"/>
    <w:rsid w:val="00BA5353"/>
    <w:rsid w:val="00BB7A2B"/>
    <w:rsid w:val="00BC18D0"/>
    <w:rsid w:val="00BC75FF"/>
    <w:rsid w:val="00BE4074"/>
    <w:rsid w:val="00BF096D"/>
    <w:rsid w:val="00C6486C"/>
    <w:rsid w:val="00CB3A99"/>
    <w:rsid w:val="00CE239C"/>
    <w:rsid w:val="00CF02A4"/>
    <w:rsid w:val="00CF2BA9"/>
    <w:rsid w:val="00D370C8"/>
    <w:rsid w:val="00D42BFB"/>
    <w:rsid w:val="00D7303E"/>
    <w:rsid w:val="00DC4D4A"/>
    <w:rsid w:val="00DC637B"/>
    <w:rsid w:val="00E23538"/>
    <w:rsid w:val="00E37A9A"/>
    <w:rsid w:val="00E43045"/>
    <w:rsid w:val="00E5311C"/>
    <w:rsid w:val="00E65B4A"/>
    <w:rsid w:val="00E6736C"/>
    <w:rsid w:val="00E7415E"/>
    <w:rsid w:val="00EB399C"/>
    <w:rsid w:val="00EE73D9"/>
    <w:rsid w:val="00F10708"/>
    <w:rsid w:val="00F17FFD"/>
    <w:rsid w:val="00F5592C"/>
    <w:rsid w:val="00F816D6"/>
    <w:rsid w:val="01A1244A"/>
    <w:rsid w:val="06BAEFE4"/>
    <w:rsid w:val="07881824"/>
    <w:rsid w:val="087887EF"/>
    <w:rsid w:val="0A7679BF"/>
    <w:rsid w:val="0B352C9E"/>
    <w:rsid w:val="0C458939"/>
    <w:rsid w:val="0C5F2F7B"/>
    <w:rsid w:val="0F1333AA"/>
    <w:rsid w:val="14FEE89D"/>
    <w:rsid w:val="19805F9A"/>
    <w:rsid w:val="19F21CAE"/>
    <w:rsid w:val="1A083644"/>
    <w:rsid w:val="1B53D8CC"/>
    <w:rsid w:val="1BAFB3E8"/>
    <w:rsid w:val="1CCB9E39"/>
    <w:rsid w:val="1CFD11EE"/>
    <w:rsid w:val="1D84B58E"/>
    <w:rsid w:val="1E6A2956"/>
    <w:rsid w:val="1F3BC51D"/>
    <w:rsid w:val="1FF68D94"/>
    <w:rsid w:val="23BA2AEA"/>
    <w:rsid w:val="25CA8659"/>
    <w:rsid w:val="26999BF6"/>
    <w:rsid w:val="2840D0C6"/>
    <w:rsid w:val="28ACCC47"/>
    <w:rsid w:val="2922E2CE"/>
    <w:rsid w:val="2998BA7B"/>
    <w:rsid w:val="2A74E2B4"/>
    <w:rsid w:val="2B234B57"/>
    <w:rsid w:val="2B760762"/>
    <w:rsid w:val="2B9AB824"/>
    <w:rsid w:val="2D423EAA"/>
    <w:rsid w:val="2EFEBF8E"/>
    <w:rsid w:val="3265E6FA"/>
    <w:rsid w:val="32D316D1"/>
    <w:rsid w:val="333BB1D8"/>
    <w:rsid w:val="33C175DD"/>
    <w:rsid w:val="3754833F"/>
    <w:rsid w:val="38A81586"/>
    <w:rsid w:val="39A6EACC"/>
    <w:rsid w:val="39D28AAF"/>
    <w:rsid w:val="3A3B1670"/>
    <w:rsid w:val="3B0414A6"/>
    <w:rsid w:val="3BE9D8D3"/>
    <w:rsid w:val="3C510541"/>
    <w:rsid w:val="3E1A6046"/>
    <w:rsid w:val="4077AAE9"/>
    <w:rsid w:val="408F20CD"/>
    <w:rsid w:val="4189FD2A"/>
    <w:rsid w:val="42042FAB"/>
    <w:rsid w:val="42BFC681"/>
    <w:rsid w:val="431EB4C0"/>
    <w:rsid w:val="4424D683"/>
    <w:rsid w:val="487FE3B8"/>
    <w:rsid w:val="4A8FCDF6"/>
    <w:rsid w:val="4BE83684"/>
    <w:rsid w:val="4CE8E307"/>
    <w:rsid w:val="4F5F26E9"/>
    <w:rsid w:val="503BD256"/>
    <w:rsid w:val="530DD4EB"/>
    <w:rsid w:val="53773ADB"/>
    <w:rsid w:val="54913D1D"/>
    <w:rsid w:val="54F2A8F3"/>
    <w:rsid w:val="55154FB1"/>
    <w:rsid w:val="55DEDC34"/>
    <w:rsid w:val="566E0519"/>
    <w:rsid w:val="595C6EFD"/>
    <w:rsid w:val="5A01D80A"/>
    <w:rsid w:val="5B1BFF3F"/>
    <w:rsid w:val="5BB22D22"/>
    <w:rsid w:val="5C6DD75D"/>
    <w:rsid w:val="5C81962B"/>
    <w:rsid w:val="5EA1C2A6"/>
    <w:rsid w:val="5FD39FEA"/>
    <w:rsid w:val="62251CE0"/>
    <w:rsid w:val="66162E49"/>
    <w:rsid w:val="6682A281"/>
    <w:rsid w:val="69926CE7"/>
    <w:rsid w:val="6C901010"/>
    <w:rsid w:val="6DA2183C"/>
    <w:rsid w:val="6E2D2833"/>
    <w:rsid w:val="6E521AA5"/>
    <w:rsid w:val="6E7643B5"/>
    <w:rsid w:val="7024B8EB"/>
    <w:rsid w:val="71E3B72C"/>
    <w:rsid w:val="73EF097D"/>
    <w:rsid w:val="789791B5"/>
    <w:rsid w:val="7996A89F"/>
    <w:rsid w:val="7B7C8E7C"/>
    <w:rsid w:val="7C34DC30"/>
    <w:rsid w:val="7CCAF07D"/>
    <w:rsid w:val="7ED351D1"/>
    <w:rsid w:val="7EE424DE"/>
    <w:rsid w:val="7F07BAB9"/>
    <w:rsid w:val="7F4173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6062D3"/>
  <w15:docId w15:val="{C493CB20-2D28-4023-A2EB-7A8761392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en-GB" w:eastAsia="en-IE" w:bidi="ar-SA"/>
      </w:rPr>
    </w:rPrDefault>
    <w:pPrDefault/>
  </w:docDefaults>
  <w:latentStyles w:defLockedState="0" w:defUIPriority="99" w:defSemiHidden="0" w:defUnhideWhenUsed="0" w:defQFormat="0" w:count="376">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35"/>
    <w:lsdException w:name="List Number" w:uiPriority="30"/>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uiPriority="40" w:qFormat="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0"/>
      <w:jc w:val="both"/>
    </w:pPr>
  </w:style>
  <w:style w:type="paragraph" w:styleId="Heading1">
    <w:name w:val="heading 1"/>
    <w:basedOn w:val="Normal"/>
    <w:next w:val="Text1"/>
    <w:uiPriority w:val="10"/>
    <w:qFormat/>
    <w:pPr>
      <w:keepNext/>
      <w:numPr>
        <w:numId w:val="16"/>
      </w:numPr>
      <w:spacing w:before="240"/>
      <w:outlineLvl w:val="0"/>
    </w:pPr>
    <w:rPr>
      <w:b/>
      <w:smallCaps/>
    </w:rPr>
  </w:style>
  <w:style w:type="paragraph" w:styleId="Heading2">
    <w:name w:val="heading 2"/>
    <w:basedOn w:val="Normal"/>
    <w:next w:val="Text2"/>
    <w:uiPriority w:val="10"/>
    <w:qFormat/>
    <w:pPr>
      <w:keepNext/>
      <w:numPr>
        <w:ilvl w:val="1"/>
        <w:numId w:val="16"/>
      </w:numPr>
      <w:outlineLvl w:val="1"/>
    </w:pPr>
    <w:rPr>
      <w:b/>
    </w:rPr>
  </w:style>
  <w:style w:type="paragraph" w:styleId="Heading3">
    <w:name w:val="heading 3"/>
    <w:basedOn w:val="Normal"/>
    <w:next w:val="Text3"/>
    <w:uiPriority w:val="10"/>
    <w:qFormat/>
    <w:pPr>
      <w:keepNext/>
      <w:numPr>
        <w:ilvl w:val="2"/>
        <w:numId w:val="16"/>
      </w:numPr>
      <w:outlineLvl w:val="2"/>
    </w:pPr>
    <w:rPr>
      <w:i/>
    </w:rPr>
  </w:style>
  <w:style w:type="paragraph" w:styleId="Heading4">
    <w:name w:val="heading 4"/>
    <w:basedOn w:val="Normal"/>
    <w:next w:val="Text4"/>
    <w:uiPriority w:val="10"/>
    <w:qFormat/>
    <w:pPr>
      <w:keepNext/>
      <w:numPr>
        <w:ilvl w:val="3"/>
        <w:numId w:val="16"/>
      </w:numPr>
      <w:outlineLvl w:val="3"/>
    </w:pPr>
  </w:style>
  <w:style w:type="paragraph" w:styleId="Heading5">
    <w:name w:val="heading 5"/>
    <w:basedOn w:val="Normal"/>
    <w:next w:val="Normal"/>
    <w:semiHidden/>
    <w:pPr>
      <w:keepNext/>
      <w:numPr>
        <w:ilvl w:val="4"/>
        <w:numId w:val="16"/>
      </w:numPr>
      <w:outlineLvl w:val="4"/>
    </w:pPr>
  </w:style>
  <w:style w:type="paragraph" w:styleId="Heading6">
    <w:name w:val="heading 6"/>
    <w:basedOn w:val="Normal"/>
    <w:next w:val="Normal"/>
    <w:semiHidden/>
    <w:pPr>
      <w:keepNext/>
      <w:numPr>
        <w:ilvl w:val="5"/>
        <w:numId w:val="16"/>
      </w:numPr>
      <w:outlineLvl w:val="5"/>
    </w:pPr>
  </w:style>
  <w:style w:type="paragraph" w:styleId="Heading7">
    <w:name w:val="heading 7"/>
    <w:basedOn w:val="Normal"/>
    <w:next w:val="Normal"/>
    <w:semiHidden/>
    <w:pPr>
      <w:keepNext/>
      <w:numPr>
        <w:ilvl w:val="6"/>
        <w:numId w:val="16"/>
      </w:numPr>
      <w:outlineLvl w:val="6"/>
    </w:pPr>
  </w:style>
  <w:style w:type="paragraph" w:styleId="Heading8">
    <w:name w:val="heading 8"/>
    <w:basedOn w:val="Normal"/>
    <w:next w:val="Normal"/>
    <w:semiHidden/>
    <w:pPr>
      <w:keepNext/>
      <w:numPr>
        <w:ilvl w:val="7"/>
        <w:numId w:val="16"/>
      </w:numPr>
      <w:outlineLvl w:val="7"/>
    </w:pPr>
  </w:style>
  <w:style w:type="paragraph" w:styleId="Heading9">
    <w:name w:val="heading 9"/>
    <w:basedOn w:val="Normal"/>
    <w:next w:val="Normal"/>
    <w:semiHidden/>
    <w:pPr>
      <w:keepNext/>
      <w:numPr>
        <w:ilvl w:val="8"/>
        <w:numId w:val="16"/>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semiHidden/>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45"/>
    <w:qFormat/>
    <w:pPr>
      <w:pageBreakBefore/>
      <w:numPr>
        <w:numId w:val="19"/>
      </w:numPr>
      <w:spacing w:after="480"/>
      <w:outlineLvl w:val="0"/>
    </w:pPr>
    <w:rPr>
      <w:b/>
      <w:sz w:val="32"/>
    </w:rPr>
  </w:style>
  <w:style w:type="paragraph" w:styleId="Caption">
    <w:name w:val="caption"/>
    <w:basedOn w:val="Normal"/>
    <w:next w:val="Normal"/>
    <w:semiHidden/>
    <w:pPr>
      <w:spacing w:before="160"/>
    </w:pPr>
    <w:rPr>
      <w:i/>
      <w:sz w:val="22"/>
    </w:rPr>
  </w:style>
  <w:style w:type="paragraph" w:customStyle="1" w:styleId="ChapterTitle">
    <w:name w:val="ChapterTitle"/>
    <w:basedOn w:val="Normal"/>
    <w:next w:val="SectionTitle"/>
    <w:uiPriority w:val="43"/>
    <w:qFormat/>
    <w:pPr>
      <w:keepNext/>
      <w:spacing w:after="480"/>
      <w:jc w:val="center"/>
      <w:outlineLvl w:val="0"/>
    </w:pPr>
    <w:rPr>
      <w:b/>
      <w:sz w:val="32"/>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18"/>
      </w:numPr>
    </w:pPr>
  </w:style>
  <w:style w:type="paragraph" w:customStyle="1" w:styleId="ContNumLevel2">
    <w:name w:val="ContNum (Level 2)"/>
    <w:basedOn w:val="Normal"/>
    <w:uiPriority w:val="20"/>
    <w:pPr>
      <w:numPr>
        <w:ilvl w:val="1"/>
        <w:numId w:val="18"/>
      </w:numPr>
    </w:pPr>
  </w:style>
  <w:style w:type="paragraph" w:customStyle="1" w:styleId="ContNumLevel3">
    <w:name w:val="ContNum (Level 3)"/>
    <w:basedOn w:val="Normal"/>
    <w:uiPriority w:val="20"/>
    <w:pPr>
      <w:numPr>
        <w:ilvl w:val="2"/>
        <w:numId w:val="18"/>
      </w:numPr>
    </w:pPr>
  </w:style>
  <w:style w:type="paragraph" w:styleId="Date">
    <w:name w:val="Date"/>
    <w:basedOn w:val="Normal"/>
    <w:next w:val="References"/>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semiHidden/>
    <w:pPr>
      <w:spacing w:after="0"/>
      <w:ind w:right="-567"/>
      <w:jc w:val="left"/>
    </w:pPr>
    <w:rPr>
      <w:sz w:val="16"/>
    </w:rPr>
  </w:style>
  <w:style w:type="paragraph" w:customStyle="1" w:styleId="FooterLine">
    <w:name w:val="Footer Line"/>
    <w:basedOn w:val="Footer"/>
    <w:next w:val="Footer"/>
    <w:semiHidden/>
    <w:pPr>
      <w:tabs>
        <w:tab w:val="right" w:pos="8646"/>
      </w:tabs>
      <w:spacing w:before="120" w:line="264" w:lineRule="auto"/>
      <w:ind w:right="0"/>
      <w:jc w:val="both"/>
    </w:pPr>
  </w:style>
  <w:style w:type="paragraph" w:styleId="FootnoteText">
    <w:name w:val="footnote text"/>
    <w:basedOn w:val="Normal"/>
    <w:semiHidden/>
    <w:pPr>
      <w:spacing w:after="120"/>
      <w:ind w:left="357" w:hanging="357"/>
    </w:pPr>
    <w:rPr>
      <w:sz w:val="20"/>
    </w:rPr>
  </w:style>
  <w:style w:type="paragraph" w:customStyle="1" w:styleId="HistoryTable">
    <w:name w:val="HistoryTable"/>
    <w:basedOn w:val="Normal"/>
    <w:semiHidden/>
    <w:pPr>
      <w:spacing w:before="60" w:after="60"/>
      <w:jc w:val="left"/>
    </w:pPr>
    <w:rPr>
      <w:sz w:val="20"/>
    </w:rPr>
  </w:style>
  <w:style w:type="paragraph" w:customStyle="1" w:styleId="HistTableHeading">
    <w:name w:val="HistTableHeading"/>
    <w:basedOn w:val="Normal"/>
    <w:next w:val="HistoryTable"/>
    <w:semiHidden/>
    <w:pPr>
      <w:spacing w:before="240"/>
      <w:jc w:val="center"/>
    </w:pPr>
    <w:rPr>
      <w:rFonts w:ascii="Times New Roman Bold" w:hAnsi="Times New Roman Bold"/>
      <w:b/>
      <w:caps/>
    </w:rPr>
  </w:style>
  <w:style w:type="paragraph" w:customStyle="1" w:styleId="LegalNumPar">
    <w:name w:val="LegalNumPar"/>
    <w:basedOn w:val="Normal"/>
    <w:uiPriority w:val="20"/>
    <w:qFormat/>
    <w:pPr>
      <w:numPr>
        <w:numId w:val="17"/>
      </w:numPr>
      <w:spacing w:line="360" w:lineRule="auto"/>
    </w:pPr>
  </w:style>
  <w:style w:type="paragraph" w:customStyle="1" w:styleId="LegalNumPar2">
    <w:name w:val="LegalNumPar2"/>
    <w:basedOn w:val="Normal"/>
    <w:uiPriority w:val="20"/>
    <w:pPr>
      <w:numPr>
        <w:ilvl w:val="1"/>
        <w:numId w:val="17"/>
      </w:numPr>
      <w:spacing w:line="360" w:lineRule="auto"/>
    </w:pPr>
  </w:style>
  <w:style w:type="paragraph" w:customStyle="1" w:styleId="LegalNumPar3">
    <w:name w:val="LegalNumPar3"/>
    <w:basedOn w:val="Normal"/>
    <w:uiPriority w:val="20"/>
    <w:pPr>
      <w:numPr>
        <w:ilvl w:val="2"/>
        <w:numId w:val="17"/>
      </w:numPr>
      <w:spacing w:line="360" w:lineRule="auto"/>
    </w:pPr>
  </w:style>
  <w:style w:type="paragraph" w:styleId="ListBullet">
    <w:name w:val="List Bullet"/>
    <w:basedOn w:val="Normal"/>
    <w:uiPriority w:val="35"/>
    <w:pPr>
      <w:numPr>
        <w:numId w:val="15"/>
      </w:numPr>
    </w:pPr>
  </w:style>
  <w:style w:type="paragraph" w:customStyle="1" w:styleId="ListBulletLevel2">
    <w:name w:val="List Bullet (Level 2)"/>
    <w:basedOn w:val="Normal"/>
    <w:uiPriority w:val="35"/>
    <w:semiHidden/>
    <w:unhideWhenUsed/>
    <w:pPr>
      <w:numPr>
        <w:ilvl w:val="1"/>
        <w:numId w:val="15"/>
      </w:numPr>
    </w:pPr>
  </w:style>
  <w:style w:type="paragraph" w:customStyle="1" w:styleId="ListBulletLevel3">
    <w:name w:val="List Bullet (Level 3)"/>
    <w:basedOn w:val="Normal"/>
    <w:uiPriority w:val="35"/>
    <w:semiHidden/>
    <w:unhideWhenUsed/>
    <w:pPr>
      <w:numPr>
        <w:ilvl w:val="2"/>
        <w:numId w:val="15"/>
      </w:numPr>
    </w:pPr>
  </w:style>
  <w:style w:type="paragraph" w:customStyle="1" w:styleId="ListBulletLevel4">
    <w:name w:val="List Bullet (Level 4)"/>
    <w:basedOn w:val="Normal"/>
    <w:uiPriority w:val="35"/>
    <w:semiHidden/>
    <w:unhideWhenUsed/>
    <w:pPr>
      <w:numPr>
        <w:ilvl w:val="3"/>
        <w:numId w:val="15"/>
      </w:numPr>
    </w:pPr>
  </w:style>
  <w:style w:type="paragraph" w:customStyle="1" w:styleId="ListBullet1">
    <w:name w:val="List Bullet 1"/>
    <w:basedOn w:val="Text1"/>
    <w:uiPriority w:val="35"/>
    <w:pPr>
      <w:numPr>
        <w:numId w:val="14"/>
      </w:numPr>
    </w:pPr>
  </w:style>
  <w:style w:type="paragraph" w:customStyle="1" w:styleId="ListBullet1Level2">
    <w:name w:val="List Bullet 1 (Level 2)"/>
    <w:basedOn w:val="Text1"/>
    <w:uiPriority w:val="35"/>
    <w:semiHidden/>
    <w:unhideWhenUsed/>
    <w:pPr>
      <w:numPr>
        <w:ilvl w:val="1"/>
        <w:numId w:val="14"/>
      </w:numPr>
    </w:pPr>
  </w:style>
  <w:style w:type="paragraph" w:customStyle="1" w:styleId="ListBullet1Level3">
    <w:name w:val="List Bullet 1 (Level 3)"/>
    <w:basedOn w:val="Text1"/>
    <w:uiPriority w:val="35"/>
    <w:semiHidden/>
    <w:unhideWhenUsed/>
    <w:pPr>
      <w:numPr>
        <w:ilvl w:val="2"/>
        <w:numId w:val="14"/>
      </w:numPr>
    </w:pPr>
  </w:style>
  <w:style w:type="paragraph" w:customStyle="1" w:styleId="ListBullet1Level4">
    <w:name w:val="List Bullet 1 (Level 4)"/>
    <w:basedOn w:val="Text1"/>
    <w:uiPriority w:val="35"/>
    <w:semiHidden/>
    <w:unhideWhenUsed/>
    <w:pPr>
      <w:numPr>
        <w:ilvl w:val="3"/>
        <w:numId w:val="14"/>
      </w:numPr>
    </w:pPr>
  </w:style>
  <w:style w:type="paragraph" w:styleId="ListBullet2">
    <w:name w:val="List Bullet 2"/>
    <w:basedOn w:val="Text2"/>
    <w:uiPriority w:val="35"/>
    <w:pPr>
      <w:numPr>
        <w:numId w:val="13"/>
      </w:numPr>
    </w:pPr>
  </w:style>
  <w:style w:type="paragraph" w:customStyle="1" w:styleId="ListBullet2Level2">
    <w:name w:val="List Bullet 2 (Level 2)"/>
    <w:basedOn w:val="Text2"/>
    <w:uiPriority w:val="35"/>
    <w:semiHidden/>
    <w:unhideWhenUsed/>
    <w:pPr>
      <w:numPr>
        <w:ilvl w:val="1"/>
        <w:numId w:val="13"/>
      </w:numPr>
    </w:pPr>
  </w:style>
  <w:style w:type="paragraph" w:customStyle="1" w:styleId="ListBullet2Level3">
    <w:name w:val="List Bullet 2 (Level 3)"/>
    <w:basedOn w:val="Text2"/>
    <w:uiPriority w:val="35"/>
    <w:semiHidden/>
    <w:unhideWhenUsed/>
    <w:pPr>
      <w:numPr>
        <w:ilvl w:val="2"/>
        <w:numId w:val="13"/>
      </w:numPr>
    </w:pPr>
  </w:style>
  <w:style w:type="paragraph" w:customStyle="1" w:styleId="ListBullet2Level4">
    <w:name w:val="List Bullet 2 (Level 4)"/>
    <w:basedOn w:val="Text2"/>
    <w:uiPriority w:val="35"/>
    <w:semiHidden/>
    <w:unhideWhenUsed/>
    <w:pPr>
      <w:numPr>
        <w:ilvl w:val="3"/>
        <w:numId w:val="13"/>
      </w:numPr>
    </w:pPr>
  </w:style>
  <w:style w:type="paragraph" w:styleId="ListBullet3">
    <w:name w:val="List Bullet 3"/>
    <w:basedOn w:val="Text3"/>
    <w:uiPriority w:val="35"/>
    <w:pPr>
      <w:numPr>
        <w:numId w:val="12"/>
      </w:numPr>
    </w:pPr>
  </w:style>
  <w:style w:type="paragraph" w:customStyle="1" w:styleId="ListBullet3Level2">
    <w:name w:val="List Bullet 3 (Level 2)"/>
    <w:basedOn w:val="Text3"/>
    <w:uiPriority w:val="35"/>
    <w:semiHidden/>
    <w:unhideWhenUsed/>
    <w:pPr>
      <w:numPr>
        <w:ilvl w:val="1"/>
        <w:numId w:val="12"/>
      </w:numPr>
    </w:pPr>
  </w:style>
  <w:style w:type="paragraph" w:customStyle="1" w:styleId="ListBullet3Level3">
    <w:name w:val="List Bullet 3 (Level 3)"/>
    <w:basedOn w:val="Text3"/>
    <w:uiPriority w:val="35"/>
    <w:semiHidden/>
    <w:unhideWhenUsed/>
    <w:pPr>
      <w:numPr>
        <w:ilvl w:val="2"/>
        <w:numId w:val="12"/>
      </w:numPr>
    </w:pPr>
  </w:style>
  <w:style w:type="paragraph" w:customStyle="1" w:styleId="ListBullet3Level4">
    <w:name w:val="List Bullet 3 (Level 4)"/>
    <w:basedOn w:val="Text3"/>
    <w:uiPriority w:val="35"/>
    <w:semiHidden/>
    <w:unhideWhenUsed/>
    <w:pPr>
      <w:numPr>
        <w:ilvl w:val="3"/>
        <w:numId w:val="12"/>
      </w:numPr>
    </w:pPr>
  </w:style>
  <w:style w:type="paragraph" w:styleId="ListBullet4">
    <w:name w:val="List Bullet 4"/>
    <w:basedOn w:val="Text4"/>
    <w:uiPriority w:val="35"/>
    <w:pPr>
      <w:numPr>
        <w:numId w:val="11"/>
      </w:numPr>
    </w:pPr>
  </w:style>
  <w:style w:type="paragraph" w:customStyle="1" w:styleId="ListBullet4Level2">
    <w:name w:val="List Bullet 4 (Level 2)"/>
    <w:basedOn w:val="Text4"/>
    <w:uiPriority w:val="35"/>
    <w:semiHidden/>
    <w:unhideWhenUsed/>
    <w:pPr>
      <w:numPr>
        <w:ilvl w:val="1"/>
        <w:numId w:val="11"/>
      </w:numPr>
    </w:pPr>
  </w:style>
  <w:style w:type="paragraph" w:customStyle="1" w:styleId="ListBullet4Level3">
    <w:name w:val="List Bullet 4 (Level 3)"/>
    <w:basedOn w:val="Text4"/>
    <w:uiPriority w:val="35"/>
    <w:semiHidden/>
    <w:unhideWhenUsed/>
    <w:pPr>
      <w:numPr>
        <w:ilvl w:val="2"/>
        <w:numId w:val="11"/>
      </w:numPr>
    </w:pPr>
  </w:style>
  <w:style w:type="paragraph" w:customStyle="1" w:styleId="ListBullet4Level4">
    <w:name w:val="List Bullet 4 (Level 4)"/>
    <w:basedOn w:val="Text4"/>
    <w:uiPriority w:val="35"/>
    <w:semiHidden/>
    <w:unhideWhenUsed/>
    <w:pPr>
      <w:numPr>
        <w:ilvl w:val="3"/>
        <w:numId w:val="11"/>
      </w:numPr>
    </w:pPr>
  </w:style>
  <w:style w:type="paragraph" w:customStyle="1" w:styleId="ListDash">
    <w:name w:val="List Dash"/>
    <w:basedOn w:val="Normal"/>
    <w:uiPriority w:val="35"/>
    <w:pPr>
      <w:numPr>
        <w:numId w:val="5"/>
      </w:numPr>
    </w:pPr>
  </w:style>
  <w:style w:type="paragraph" w:customStyle="1" w:styleId="ListDashLevel2">
    <w:name w:val="List Dash (Level 2)"/>
    <w:basedOn w:val="Normal"/>
    <w:semiHidden/>
    <w:unhideWhenUsed/>
    <w:pPr>
      <w:numPr>
        <w:ilvl w:val="1"/>
        <w:numId w:val="5"/>
      </w:numPr>
    </w:pPr>
  </w:style>
  <w:style w:type="paragraph" w:customStyle="1" w:styleId="ListDashLevel3">
    <w:name w:val="List Dash (Level 3)"/>
    <w:basedOn w:val="Normal"/>
    <w:semiHidden/>
    <w:unhideWhenUsed/>
    <w:pPr>
      <w:numPr>
        <w:ilvl w:val="2"/>
        <w:numId w:val="5"/>
      </w:numPr>
    </w:pPr>
  </w:style>
  <w:style w:type="paragraph" w:customStyle="1" w:styleId="ListDashLevel4">
    <w:name w:val="List Dash (Level 4)"/>
    <w:basedOn w:val="Normal"/>
    <w:semiHidden/>
    <w:unhideWhenUsed/>
    <w:pPr>
      <w:numPr>
        <w:ilvl w:val="3"/>
        <w:numId w:val="5"/>
      </w:numPr>
    </w:pPr>
  </w:style>
  <w:style w:type="paragraph" w:customStyle="1" w:styleId="ListDash1">
    <w:name w:val="List Dash 1"/>
    <w:basedOn w:val="Text1"/>
    <w:uiPriority w:val="35"/>
    <w:pPr>
      <w:numPr>
        <w:numId w:val="4"/>
      </w:numPr>
    </w:pPr>
  </w:style>
  <w:style w:type="paragraph" w:customStyle="1" w:styleId="ListDash1Level2">
    <w:name w:val="List Dash 1 (Level 2)"/>
    <w:basedOn w:val="Text1"/>
    <w:uiPriority w:val="35"/>
    <w:semiHidden/>
    <w:unhideWhenUsed/>
    <w:pPr>
      <w:numPr>
        <w:ilvl w:val="1"/>
        <w:numId w:val="4"/>
      </w:numPr>
    </w:pPr>
  </w:style>
  <w:style w:type="paragraph" w:customStyle="1" w:styleId="ListDash1Level3">
    <w:name w:val="List Dash 1 (Level 3)"/>
    <w:basedOn w:val="Text1"/>
    <w:uiPriority w:val="35"/>
    <w:semiHidden/>
    <w:unhideWhenUsed/>
    <w:pPr>
      <w:numPr>
        <w:ilvl w:val="2"/>
        <w:numId w:val="4"/>
      </w:numPr>
    </w:pPr>
  </w:style>
  <w:style w:type="paragraph" w:customStyle="1" w:styleId="ListDash1Level4">
    <w:name w:val="List Dash 1 (Level 4)"/>
    <w:basedOn w:val="Text1"/>
    <w:uiPriority w:val="35"/>
    <w:semiHidden/>
    <w:unhideWhenUsed/>
    <w:pPr>
      <w:numPr>
        <w:ilvl w:val="3"/>
        <w:numId w:val="4"/>
      </w:numPr>
    </w:pPr>
  </w:style>
  <w:style w:type="paragraph" w:customStyle="1" w:styleId="ListDash2">
    <w:name w:val="List Dash 2"/>
    <w:basedOn w:val="Text2"/>
    <w:uiPriority w:val="35"/>
    <w:pPr>
      <w:numPr>
        <w:numId w:val="3"/>
      </w:numPr>
    </w:pPr>
  </w:style>
  <w:style w:type="paragraph" w:customStyle="1" w:styleId="ListDash2Level2">
    <w:name w:val="List Dash 2 (Level 2)"/>
    <w:basedOn w:val="Text2"/>
    <w:uiPriority w:val="35"/>
    <w:semiHidden/>
    <w:unhideWhenUsed/>
    <w:pPr>
      <w:numPr>
        <w:ilvl w:val="1"/>
        <w:numId w:val="3"/>
      </w:numPr>
    </w:pPr>
  </w:style>
  <w:style w:type="paragraph" w:customStyle="1" w:styleId="ListDash2Level3">
    <w:name w:val="List Dash 2 (Level 3)"/>
    <w:basedOn w:val="Text2"/>
    <w:uiPriority w:val="35"/>
    <w:semiHidden/>
    <w:unhideWhenUsed/>
    <w:pPr>
      <w:numPr>
        <w:ilvl w:val="2"/>
        <w:numId w:val="3"/>
      </w:numPr>
    </w:pPr>
  </w:style>
  <w:style w:type="paragraph" w:customStyle="1" w:styleId="ListDash2Level4">
    <w:name w:val="List Dash 2 (Level 4)"/>
    <w:basedOn w:val="Text2"/>
    <w:uiPriority w:val="35"/>
    <w:semiHidden/>
    <w:unhideWhenUsed/>
    <w:pPr>
      <w:numPr>
        <w:ilvl w:val="3"/>
        <w:numId w:val="3"/>
      </w:numPr>
    </w:pPr>
  </w:style>
  <w:style w:type="paragraph" w:customStyle="1" w:styleId="ListDash3">
    <w:name w:val="List Dash 3"/>
    <w:basedOn w:val="Text3"/>
    <w:uiPriority w:val="35"/>
    <w:pPr>
      <w:numPr>
        <w:numId w:val="2"/>
      </w:numPr>
    </w:pPr>
  </w:style>
  <w:style w:type="paragraph" w:customStyle="1" w:styleId="ListDash3Level2">
    <w:name w:val="List Dash 3 (Level 2)"/>
    <w:basedOn w:val="Text3"/>
    <w:uiPriority w:val="35"/>
    <w:semiHidden/>
    <w:unhideWhenUsed/>
    <w:pPr>
      <w:numPr>
        <w:ilvl w:val="1"/>
        <w:numId w:val="2"/>
      </w:numPr>
    </w:pPr>
  </w:style>
  <w:style w:type="paragraph" w:customStyle="1" w:styleId="ListDash3Level3">
    <w:name w:val="List Dash 3 (Level 3)"/>
    <w:basedOn w:val="Text3"/>
    <w:uiPriority w:val="35"/>
    <w:semiHidden/>
    <w:unhideWhenUsed/>
    <w:pPr>
      <w:numPr>
        <w:ilvl w:val="2"/>
        <w:numId w:val="2"/>
      </w:numPr>
    </w:pPr>
  </w:style>
  <w:style w:type="paragraph" w:customStyle="1" w:styleId="ListDash3Level4">
    <w:name w:val="List Dash 3 (Level 4)"/>
    <w:basedOn w:val="Text3"/>
    <w:uiPriority w:val="35"/>
    <w:semiHidden/>
    <w:unhideWhenUsed/>
    <w:pPr>
      <w:numPr>
        <w:ilvl w:val="3"/>
        <w:numId w:val="2"/>
      </w:numPr>
    </w:pPr>
  </w:style>
  <w:style w:type="paragraph" w:customStyle="1" w:styleId="ListDash4">
    <w:name w:val="List Dash 4"/>
    <w:basedOn w:val="Text4"/>
    <w:uiPriority w:val="35"/>
    <w:pPr>
      <w:numPr>
        <w:numId w:val="1"/>
      </w:numPr>
    </w:pPr>
  </w:style>
  <w:style w:type="paragraph" w:customStyle="1" w:styleId="ListDash4Level2">
    <w:name w:val="List Dash 4 (Level 2)"/>
    <w:basedOn w:val="Text4"/>
    <w:uiPriority w:val="35"/>
    <w:semiHidden/>
    <w:unhideWhenUsed/>
    <w:pPr>
      <w:numPr>
        <w:ilvl w:val="1"/>
        <w:numId w:val="1"/>
      </w:numPr>
    </w:pPr>
  </w:style>
  <w:style w:type="paragraph" w:customStyle="1" w:styleId="ListDash4Level3">
    <w:name w:val="List Dash 4 (Level 3)"/>
    <w:basedOn w:val="Text4"/>
    <w:uiPriority w:val="35"/>
    <w:semiHidden/>
    <w:unhideWhenUsed/>
    <w:pPr>
      <w:numPr>
        <w:ilvl w:val="2"/>
        <w:numId w:val="1"/>
      </w:numPr>
    </w:pPr>
  </w:style>
  <w:style w:type="paragraph" w:customStyle="1" w:styleId="ListDash4Level4">
    <w:name w:val="List Dash 4 (Level 4)"/>
    <w:basedOn w:val="Text4"/>
    <w:uiPriority w:val="35"/>
    <w:semiHidden/>
    <w:unhideWhenUsed/>
    <w:pPr>
      <w:numPr>
        <w:ilvl w:val="3"/>
        <w:numId w:val="1"/>
      </w:numPr>
    </w:pPr>
  </w:style>
  <w:style w:type="paragraph" w:styleId="ListNumber">
    <w:name w:val="List Number"/>
    <w:basedOn w:val="Normal"/>
    <w:uiPriority w:val="30"/>
    <w:pPr>
      <w:numPr>
        <w:numId w:val="10"/>
      </w:numPr>
    </w:pPr>
  </w:style>
  <w:style w:type="paragraph" w:customStyle="1" w:styleId="ListNumberLevel2">
    <w:name w:val="List Number (Level 2)"/>
    <w:basedOn w:val="Normal"/>
    <w:uiPriority w:val="30"/>
    <w:pPr>
      <w:numPr>
        <w:ilvl w:val="1"/>
        <w:numId w:val="10"/>
      </w:numPr>
    </w:pPr>
  </w:style>
  <w:style w:type="paragraph" w:customStyle="1" w:styleId="ListNumberLevel3">
    <w:name w:val="List Number (Level 3)"/>
    <w:basedOn w:val="Normal"/>
    <w:uiPriority w:val="30"/>
    <w:pPr>
      <w:numPr>
        <w:ilvl w:val="2"/>
        <w:numId w:val="10"/>
      </w:numPr>
    </w:pPr>
  </w:style>
  <w:style w:type="paragraph" w:customStyle="1" w:styleId="ListNumberLevel4">
    <w:name w:val="List Number (Level 4)"/>
    <w:basedOn w:val="Normal"/>
    <w:uiPriority w:val="30"/>
    <w:pPr>
      <w:numPr>
        <w:ilvl w:val="3"/>
        <w:numId w:val="10"/>
      </w:numPr>
    </w:pPr>
  </w:style>
  <w:style w:type="paragraph" w:customStyle="1" w:styleId="ListNumber1">
    <w:name w:val="List Number 1"/>
    <w:basedOn w:val="Text1"/>
    <w:uiPriority w:val="30"/>
    <w:pPr>
      <w:numPr>
        <w:numId w:val="9"/>
      </w:numPr>
    </w:pPr>
  </w:style>
  <w:style w:type="paragraph" w:customStyle="1" w:styleId="ListNumber1Level2">
    <w:name w:val="List Number 1 (Level 2)"/>
    <w:basedOn w:val="Text1"/>
    <w:uiPriority w:val="30"/>
    <w:semiHidden/>
    <w:unhideWhenUsed/>
    <w:pPr>
      <w:numPr>
        <w:ilvl w:val="1"/>
        <w:numId w:val="9"/>
      </w:numPr>
    </w:pPr>
  </w:style>
  <w:style w:type="paragraph" w:customStyle="1" w:styleId="ListNumber1Level3">
    <w:name w:val="List Number 1 (Level 3)"/>
    <w:basedOn w:val="Text1"/>
    <w:uiPriority w:val="30"/>
    <w:semiHidden/>
    <w:unhideWhenUsed/>
    <w:pPr>
      <w:numPr>
        <w:ilvl w:val="2"/>
        <w:numId w:val="9"/>
      </w:numPr>
    </w:pPr>
  </w:style>
  <w:style w:type="paragraph" w:customStyle="1" w:styleId="ListNumber1Level4">
    <w:name w:val="List Number 1 (Level 4)"/>
    <w:basedOn w:val="Text1"/>
    <w:uiPriority w:val="30"/>
    <w:semiHidden/>
    <w:unhideWhenUsed/>
    <w:pPr>
      <w:numPr>
        <w:ilvl w:val="3"/>
        <w:numId w:val="9"/>
      </w:numPr>
    </w:pPr>
  </w:style>
  <w:style w:type="paragraph" w:styleId="ListNumber2">
    <w:name w:val="List Number 2"/>
    <w:basedOn w:val="Text2"/>
    <w:uiPriority w:val="30"/>
    <w:pPr>
      <w:numPr>
        <w:numId w:val="8"/>
      </w:numPr>
    </w:pPr>
  </w:style>
  <w:style w:type="paragraph" w:customStyle="1" w:styleId="ListNumber2Level2">
    <w:name w:val="List Number 2 (Level 2)"/>
    <w:basedOn w:val="Text2"/>
    <w:uiPriority w:val="30"/>
    <w:semiHidden/>
    <w:unhideWhenUsed/>
    <w:pPr>
      <w:numPr>
        <w:ilvl w:val="1"/>
        <w:numId w:val="8"/>
      </w:numPr>
    </w:pPr>
  </w:style>
  <w:style w:type="paragraph" w:customStyle="1" w:styleId="ListNumber2Level3">
    <w:name w:val="List Number 2 (Level 3)"/>
    <w:basedOn w:val="Text2"/>
    <w:uiPriority w:val="30"/>
    <w:semiHidden/>
    <w:unhideWhenUsed/>
    <w:pPr>
      <w:numPr>
        <w:ilvl w:val="2"/>
        <w:numId w:val="8"/>
      </w:numPr>
    </w:pPr>
  </w:style>
  <w:style w:type="paragraph" w:customStyle="1" w:styleId="ListNumber2Level4">
    <w:name w:val="List Number 2 (Level 4)"/>
    <w:basedOn w:val="Text2"/>
    <w:uiPriority w:val="30"/>
    <w:semiHidden/>
    <w:unhideWhenUsed/>
    <w:pPr>
      <w:numPr>
        <w:ilvl w:val="3"/>
        <w:numId w:val="8"/>
      </w:numPr>
    </w:pPr>
  </w:style>
  <w:style w:type="paragraph" w:styleId="ListNumber3">
    <w:name w:val="List Number 3"/>
    <w:basedOn w:val="Text3"/>
    <w:uiPriority w:val="30"/>
    <w:pPr>
      <w:numPr>
        <w:numId w:val="7"/>
      </w:numPr>
    </w:pPr>
  </w:style>
  <w:style w:type="paragraph" w:customStyle="1" w:styleId="ListNumber3Level2">
    <w:name w:val="List Number 3 (Level 2)"/>
    <w:basedOn w:val="Text3"/>
    <w:uiPriority w:val="30"/>
    <w:semiHidden/>
    <w:unhideWhenUsed/>
    <w:pPr>
      <w:numPr>
        <w:ilvl w:val="1"/>
        <w:numId w:val="7"/>
      </w:numPr>
    </w:pPr>
  </w:style>
  <w:style w:type="paragraph" w:customStyle="1" w:styleId="ListNumber3Level3">
    <w:name w:val="List Number 3 (Level 3)"/>
    <w:basedOn w:val="Text3"/>
    <w:uiPriority w:val="30"/>
    <w:semiHidden/>
    <w:unhideWhenUsed/>
    <w:pPr>
      <w:numPr>
        <w:ilvl w:val="2"/>
        <w:numId w:val="7"/>
      </w:numPr>
    </w:pPr>
  </w:style>
  <w:style w:type="paragraph" w:customStyle="1" w:styleId="ListNumber3Level4">
    <w:name w:val="List Number 3 (Level 4)"/>
    <w:basedOn w:val="Text3"/>
    <w:uiPriority w:val="30"/>
    <w:semiHidden/>
    <w:unhideWhenUsed/>
    <w:pPr>
      <w:numPr>
        <w:ilvl w:val="3"/>
        <w:numId w:val="7"/>
      </w:numPr>
    </w:pPr>
  </w:style>
  <w:style w:type="paragraph" w:styleId="ListNumber4">
    <w:name w:val="List Number 4"/>
    <w:basedOn w:val="Text4"/>
    <w:uiPriority w:val="30"/>
    <w:pPr>
      <w:numPr>
        <w:numId w:val="6"/>
      </w:numPr>
    </w:pPr>
  </w:style>
  <w:style w:type="paragraph" w:customStyle="1" w:styleId="ListNumber4Level2">
    <w:name w:val="List Number 4 (Level 2)"/>
    <w:basedOn w:val="Text4"/>
    <w:uiPriority w:val="30"/>
    <w:semiHidden/>
    <w:unhideWhenUsed/>
    <w:pPr>
      <w:numPr>
        <w:ilvl w:val="1"/>
        <w:numId w:val="6"/>
      </w:numPr>
    </w:pPr>
  </w:style>
  <w:style w:type="paragraph" w:customStyle="1" w:styleId="ListNumber4Level3">
    <w:name w:val="List Number 4 (Level 3)"/>
    <w:basedOn w:val="Text4"/>
    <w:uiPriority w:val="30"/>
    <w:semiHidden/>
    <w:unhideWhenUsed/>
    <w:pPr>
      <w:numPr>
        <w:ilvl w:val="2"/>
        <w:numId w:val="6"/>
      </w:numPr>
    </w:pPr>
  </w:style>
  <w:style w:type="paragraph" w:customStyle="1" w:styleId="ListNumber4Level4">
    <w:name w:val="List Number 4 (Level 4)"/>
    <w:basedOn w:val="Text4"/>
    <w:uiPriority w:val="30"/>
    <w:semiHidden/>
    <w:unhideWhenUsed/>
    <w:pPr>
      <w:numPr>
        <w:ilvl w:val="3"/>
        <w:numId w:val="6"/>
      </w:numPr>
    </w:pPr>
  </w:style>
  <w:style w:type="paragraph" w:customStyle="1" w:styleId="Marking">
    <w:name w:val="Marking"/>
    <w:basedOn w:val="Normal"/>
    <w:semiHidden/>
    <w:rsid w:val="004835B3"/>
    <w:pPr>
      <w:ind w:left="5102" w:right="-680"/>
      <w:contextualSpacing/>
      <w:jc w:val="left"/>
    </w:pPr>
    <w:rPr>
      <w:sz w:val="28"/>
      <w:lang w:val="en-IE"/>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Title">
    <w:name w:val="PartTitle"/>
    <w:basedOn w:val="Normal"/>
    <w:next w:val="ChapterTitle"/>
    <w:uiPriority w:val="42"/>
    <w:qFormat/>
    <w:pPr>
      <w:keepNext/>
      <w:pageBreakBefore/>
      <w:spacing w:after="480"/>
      <w:jc w:val="center"/>
      <w:outlineLvl w:val="0"/>
    </w:pPr>
    <w:rPr>
      <w:b/>
      <w:sz w:val="36"/>
    </w:r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SectionTitle">
    <w:name w:val="SectionTitle"/>
    <w:basedOn w:val="Normal"/>
    <w:next w:val="Heading1"/>
    <w:uiPriority w:val="44"/>
    <w:qFormat/>
    <w:pPr>
      <w:keepNext/>
      <w:spacing w:after="480"/>
      <w:jc w:val="center"/>
      <w:outlineLvl w:val="0"/>
    </w:pPr>
    <w:rPr>
      <w:b/>
      <w:smallCaps/>
      <w:sz w:val="28"/>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Title1">
    <w:name w:val="SubTitle 1"/>
    <w:basedOn w:val="Normal"/>
    <w:next w:val="SubTitle2"/>
    <w:uiPriority w:val="41"/>
    <w:qFormat/>
    <w:pPr>
      <w:jc w:val="center"/>
    </w:pPr>
    <w:rPr>
      <w:b/>
      <w:sz w:val="40"/>
    </w:rPr>
  </w:style>
  <w:style w:type="paragraph" w:customStyle="1" w:styleId="SubTitle2">
    <w:name w:val="SubTitle 2"/>
    <w:basedOn w:val="Normal"/>
    <w:uiPriority w:val="41"/>
    <w:qFormat/>
    <w:pPr>
      <w:jc w:val="center"/>
    </w:pPr>
    <w:rPr>
      <w:b/>
      <w:sz w:val="32"/>
    </w:rPr>
  </w:style>
  <w:style w:type="paragraph" w:customStyle="1" w:styleId="TableListBullet">
    <w:name w:val="Table List Bullet"/>
    <w:basedOn w:val="TableText"/>
    <w:uiPriority w:val="55"/>
    <w:pPr>
      <w:numPr>
        <w:numId w:val="20"/>
      </w:numPr>
    </w:pPr>
  </w:style>
  <w:style w:type="paragraph" w:customStyle="1" w:styleId="TableListBulletLevel2">
    <w:name w:val="Table List Bullet (Level 2)"/>
    <w:basedOn w:val="TableText"/>
    <w:uiPriority w:val="55"/>
    <w:semiHidden/>
    <w:unhideWhenUsed/>
    <w:pPr>
      <w:numPr>
        <w:ilvl w:val="1"/>
        <w:numId w:val="20"/>
      </w:numPr>
    </w:pPr>
  </w:style>
  <w:style w:type="paragraph" w:customStyle="1" w:styleId="TableListBulletLevel3">
    <w:name w:val="Table List Bullet (Level 3)"/>
    <w:basedOn w:val="TableText"/>
    <w:uiPriority w:val="55"/>
    <w:semiHidden/>
    <w:unhideWhenUsed/>
    <w:pPr>
      <w:numPr>
        <w:ilvl w:val="2"/>
        <w:numId w:val="20"/>
      </w:numPr>
    </w:pPr>
  </w:style>
  <w:style w:type="paragraph" w:customStyle="1" w:styleId="TableListBulletLevel4">
    <w:name w:val="Table List Bullet (Level 4)"/>
    <w:basedOn w:val="TableText"/>
    <w:uiPriority w:val="55"/>
    <w:semiHidden/>
    <w:unhideWhenUsed/>
    <w:pPr>
      <w:numPr>
        <w:ilvl w:val="3"/>
        <w:numId w:val="20"/>
      </w:numPr>
    </w:pPr>
  </w:style>
  <w:style w:type="paragraph" w:customStyle="1" w:styleId="TableListDash">
    <w:name w:val="Table List Dash"/>
    <w:basedOn w:val="TableText"/>
    <w:uiPriority w:val="55"/>
    <w:pPr>
      <w:numPr>
        <w:numId w:val="21"/>
      </w:numPr>
    </w:pPr>
  </w:style>
  <w:style w:type="paragraph" w:customStyle="1" w:styleId="TableListDashLevel2">
    <w:name w:val="Table List Dash (Level 2)"/>
    <w:basedOn w:val="TableText"/>
    <w:uiPriority w:val="55"/>
    <w:semiHidden/>
    <w:unhideWhenUsed/>
    <w:pPr>
      <w:numPr>
        <w:ilvl w:val="1"/>
        <w:numId w:val="21"/>
      </w:numPr>
    </w:pPr>
  </w:style>
  <w:style w:type="paragraph" w:customStyle="1" w:styleId="TableListDashLevel3">
    <w:name w:val="Table List Dash (Level 3)"/>
    <w:basedOn w:val="TableText"/>
    <w:uiPriority w:val="55"/>
    <w:semiHidden/>
    <w:unhideWhenUsed/>
    <w:pPr>
      <w:numPr>
        <w:ilvl w:val="2"/>
        <w:numId w:val="21"/>
      </w:numPr>
    </w:pPr>
  </w:style>
  <w:style w:type="paragraph" w:customStyle="1" w:styleId="TableListDashLevel4">
    <w:name w:val="Table List Dash (Level 4)"/>
    <w:basedOn w:val="TableText"/>
    <w:uiPriority w:val="55"/>
    <w:semiHidden/>
    <w:unhideWhenUsed/>
    <w:pPr>
      <w:numPr>
        <w:ilvl w:val="3"/>
        <w:numId w:val="21"/>
      </w:numPr>
    </w:pPr>
  </w:style>
  <w:style w:type="paragraph" w:customStyle="1" w:styleId="TableListNumber">
    <w:name w:val="Table List Number"/>
    <w:basedOn w:val="TableText"/>
    <w:uiPriority w:val="55"/>
    <w:pPr>
      <w:numPr>
        <w:numId w:val="22"/>
      </w:numPr>
    </w:pPr>
  </w:style>
  <w:style w:type="paragraph" w:customStyle="1" w:styleId="TableListNumberLevel2">
    <w:name w:val="Table List Number (Level 2)"/>
    <w:basedOn w:val="TableText"/>
    <w:uiPriority w:val="55"/>
    <w:semiHidden/>
    <w:unhideWhenUsed/>
    <w:pPr>
      <w:numPr>
        <w:ilvl w:val="1"/>
        <w:numId w:val="22"/>
      </w:numPr>
    </w:pPr>
  </w:style>
  <w:style w:type="paragraph" w:customStyle="1" w:styleId="TableListNumberLevel3">
    <w:name w:val="Table List Number (Level 3)"/>
    <w:basedOn w:val="TableText"/>
    <w:uiPriority w:val="55"/>
    <w:semiHidden/>
    <w:unhideWhenUsed/>
    <w:pPr>
      <w:numPr>
        <w:ilvl w:val="2"/>
        <w:numId w:val="22"/>
      </w:numPr>
    </w:pPr>
  </w:style>
  <w:style w:type="paragraph" w:customStyle="1" w:styleId="TableListNumberLevel4">
    <w:name w:val="Table List Number (Level 4)"/>
    <w:basedOn w:val="TableText"/>
    <w:uiPriority w:val="55"/>
    <w:semiHidden/>
    <w:unhideWhenUsed/>
    <w:pPr>
      <w:numPr>
        <w:ilvl w:val="3"/>
        <w:numId w:val="22"/>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202"/>
    </w:pPr>
  </w:style>
  <w:style w:type="paragraph" w:customStyle="1" w:styleId="Text3">
    <w:name w:val="Text 3"/>
    <w:basedOn w:val="Normal"/>
    <w:qFormat/>
    <w:pPr>
      <w:ind w:left="1202"/>
    </w:pPr>
  </w:style>
  <w:style w:type="paragraph" w:customStyle="1" w:styleId="Text4">
    <w:name w:val="Text 4"/>
    <w:basedOn w:val="Normal"/>
    <w:qFormat/>
    <w:pPr>
      <w:ind w:left="1202"/>
    </w:pPr>
  </w:style>
  <w:style w:type="paragraph" w:styleId="Title">
    <w:name w:val="Title"/>
    <w:basedOn w:val="Normal"/>
    <w:next w:val="SubTitle1"/>
    <w:uiPriority w:val="40"/>
    <w:qFormat/>
    <w:pPr>
      <w:spacing w:after="480"/>
      <w:jc w:val="center"/>
    </w:pPr>
    <w:rPr>
      <w:b/>
      <w:kern w:val="28"/>
      <w:sz w:val="48"/>
    </w:r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semiHidden/>
    <w:pPr>
      <w:tabs>
        <w:tab w:val="center" w:pos="4150"/>
        <w:tab w:val="right" w:pos="8306"/>
      </w:tabs>
      <w:spacing w:after="0"/>
    </w:pPr>
  </w:style>
  <w:style w:type="character" w:customStyle="1" w:styleId="HeaderChar">
    <w:name w:val="Header Char"/>
    <w:basedOn w:val="DefaultParagraphFont"/>
    <w:link w:val="Header"/>
    <w:semiHidden/>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202" w:type="dxa"/>
    </w:tblPr>
    <w:tblStylePr w:type="firstRow">
      <w:rPr>
        <w:b/>
      </w:rPr>
      <w:tblPr/>
      <w:trPr>
        <w:cantSplit/>
        <w:tblHeader/>
      </w:trPr>
    </w:tblStylePr>
  </w:style>
  <w:style w:type="table" w:customStyle="1" w:styleId="EurolookTable3">
    <w:name w:val="Eurolook Table 3"/>
    <w:basedOn w:val="EurolookTable"/>
    <w:semiHidden/>
    <w:tblPr>
      <w:tblInd w:w="1202" w:type="dxa"/>
    </w:tblPr>
    <w:tblStylePr w:type="firstRow">
      <w:rPr>
        <w:b/>
      </w:rPr>
      <w:tblPr/>
      <w:trPr>
        <w:cantSplit/>
        <w:tblHeader/>
      </w:trPr>
    </w:tblStylePr>
  </w:style>
  <w:style w:type="table" w:customStyle="1" w:styleId="EurolookTable4">
    <w:name w:val="Eurolook Table 4"/>
    <w:basedOn w:val="EurolookTable"/>
    <w:semiHidden/>
    <w:tblPr>
      <w:tblInd w:w="1202"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SignatureTable">
    <w:name w:val="Signature Table"/>
    <w:basedOn w:val="HelperTableBase"/>
    <w:semiHidden/>
    <w:tblPr/>
  </w:style>
  <w:style w:type="table" w:styleId="TableGrid">
    <w:name w:val="Table Grid"/>
    <w:semiHidden/>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tblPr>
      <w:tblCellMar>
        <w:left w:w="0" w:type="dxa"/>
        <w:bottom w:w="340" w:type="dxa"/>
        <w:right w:w="0" w:type="dxa"/>
      </w:tblCellMar>
    </w:tblPr>
  </w:style>
  <w:style w:type="character" w:styleId="Hyperlink">
    <w:name w:val="Hyperlink"/>
    <w:basedOn w:val="DefaultParagraphFont"/>
    <w:uiPriority w:val="99"/>
    <w:semiHidden/>
    <w:rsid w:val="008A04A6"/>
    <w:rPr>
      <w:color w:val="467886" w:themeColor="hyperlink"/>
      <w:u w:val="single"/>
    </w:rPr>
  </w:style>
  <w:style w:type="character" w:styleId="UnresolvedMention">
    <w:name w:val="Unresolved Mention"/>
    <w:basedOn w:val="DefaultParagraphFont"/>
    <w:uiPriority w:val="99"/>
    <w:semiHidden/>
    <w:unhideWhenUsed/>
    <w:rsid w:val="008A04A6"/>
    <w:rPr>
      <w:color w:val="605E5C"/>
      <w:shd w:val="clear" w:color="auto" w:fill="E1DFDD"/>
    </w:rPr>
  </w:style>
  <w:style w:type="paragraph" w:styleId="CommentText">
    <w:name w:val="annotation text"/>
    <w:basedOn w:val="Normal"/>
    <w:link w:val="CommentTextChar"/>
    <w:uiPriority w:val="99"/>
    <w:semiHidden/>
    <w:rPr>
      <w:sz w:val="20"/>
    </w:rPr>
  </w:style>
  <w:style w:type="character" w:customStyle="1" w:styleId="CommentTextChar">
    <w:name w:val="Comment Text Char"/>
    <w:basedOn w:val="DefaultParagraphFont"/>
    <w:link w:val="CommentText"/>
    <w:uiPriority w:val="99"/>
    <w:semiHidden/>
    <w:rPr>
      <w:sz w:val="20"/>
    </w:rPr>
  </w:style>
  <w:style w:type="character" w:styleId="CommentReference">
    <w:name w:val="annotation reference"/>
    <w:basedOn w:val="DefaultParagraphFont"/>
    <w:uiPriority w:val="99"/>
    <w:semiHidden/>
    <w:rPr>
      <w:sz w:val="16"/>
      <w:szCs w:val="16"/>
    </w:rPr>
  </w:style>
  <w:style w:type="paragraph" w:styleId="Revision">
    <w:name w:val="Revision"/>
    <w:hidden/>
    <w:uiPriority w:val="99"/>
    <w:semiHidden/>
    <w:rsid w:val="005518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ebgate.ec.europa.eu/single-market-compliance-space/notified-bodies/notified-body-list?filter=legislationId:154428,notificationStatusId:1" TargetMode="Externa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EurolookProperties>
  <ProductCustomizationId>EC</ProductCustomizationId>
  <Created>
    <Version>10.0.47478.0</Version>
    <Date>2025-01-28T16:57:28</Date>
    <Language>EN</Language>
    <Note/>
  </Created>
  <Edited>
    <Version/>
    <Date/>
  </Edited>
  <DocumentModel>
    <Id>6cbda13a-4db2-46c6-876a-ef72275827ef</Id>
    <Name>Report</Name>
  </DocumentModel>
  <CustomTemplate>
    <Id/>
    <Name/>
  </CustomTemplate>
  <DocumentDate>2025-01-28T16:57:28</DocumentDate>
  <DocumentVersion>0.1</DocumentVersion>
  <CompatibilityMode>Eurolook10</CompatibilityMode>
  <DocumentMetadata>
    <EC_SecurityMarking MetadataSerializationType="SimpleValue"/>
    <EC_SecurityDateMarkingDate MetadataSerializationType="SimpleValue"/>
    <EC_SecurityDistributionDG MetadataSerializationType="SimpleValue"/>
    <EC_SecurityDateMarkingEvent MetadataSerializationType="SimpleValue"/>
    <EC_SecurityDistributionSpecialHandling MetadataSerializationType="SimpleValue"/>
    <EC_SecurityDistributionWorkingGroup MetadataSerializationType="SimpleValue"/>
    <EC_SecurityReleasability MetadataSerializationType="SimpleValue"/>
    <EC_SecurityDateMarking MetadataSerializationType="SimpleValue"/>
    <EC_SecurityDistributionSensitive MetadataSerializationType="SimpleValue"/>
  </DocumentMetadata>
</Eurolook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59C0AD6FB6ACE4A830182AC83E20278" ma:contentTypeVersion="4" ma:contentTypeDescription="Create a new document." ma:contentTypeScope="" ma:versionID="5c5dbb7b05553ab4dbe13bb7a4612aac">
  <xsd:schema xmlns:xsd="http://www.w3.org/2001/XMLSchema" xmlns:xs="http://www.w3.org/2001/XMLSchema" xmlns:p="http://schemas.microsoft.com/office/2006/metadata/properties" xmlns:ns2="f5bb309f-f7c4-4e3e-8b03-43014cad50ef" targetNamespace="http://schemas.microsoft.com/office/2006/metadata/properties" ma:root="true" ma:fieldsID="1488ff447fe128e2def088de3771a943" ns2:_="">
    <xsd:import namespace="f5bb309f-f7c4-4e3e-8b03-43014cad50e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bb309f-f7c4-4e3e-8b03-43014cad50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Author Role="Creator" AuthorRoleName="Writer" AuthorRoleId="a4fbaff4-b07c-48b4-a21e-e7b9eedf3796">
  <Id>0582a182-8ef1-41ce-a200-76710a7ed5bf</Id>
  <Names>
    <Latin>
      <FirstName>Luis Miguel</FirstName>
      <LastName>VEGA FIDALGO</LastName>
    </Latin>
    <Greek>
      <FirstName/>
      <LastName/>
    </Greek>
    <Cyrillic>
      <FirstName/>
      <LastName/>
    </Cyrillic>
    <DocumentScript>
      <FirstName>Luis Miguel</FirstName>
      <LastName>VEGA FIDALGO</LastName>
      <FullName>Luis Miguel VEGA FIDALGO</FullName>
    </DocumentScript>
  </Names>
  <Initials>LMVF</Initials>
  <Gender>m</Gender>
  <Email>Luis-Miguel.VEGA-FIDALGO@ec.europa.eu</Email>
  <Service>GROW.H.2</Service>
  <Function ADCode="" ShowInSignature="true" ShowInHeader="false" HeaderText=""/>
  <WebAddress/>
  <FunctionalMailbox/>
  <InheritedWebAddress>WebAddress</InheritedWebAddress>
  <OrgaEntity1>
    <Id>8e50828d-b980-4366-bc08-2a20f760600e</Id>
    <LogicalLevel>1</LogicalLevel>
    <Name>GROW</Name>
    <HeadLine1>DIRECTORATE-GENERAL FOR INTERNAL MARKET, INDUSTRY, ENTREPRENEURSHIP</HeadLine1>
    <HeadLine2>AND SMES</HeadLine2>
    <PrimaryAddressId>f03b5801-04c9-4931-aa17-c6d6c70bc579</PrimaryAddressId>
    <SecondaryAddressId/>
    <WebAddress>WebAddress</WebAddress>
    <InheritedWebAddress>WebAddress</InheritedWebAddress>
    <ShowInHeader>true</ShowInHeader>
  </OrgaEntity1>
  <OrgaEntity2>
    <Id>4609b496-4981-44c7-b5be-a31069f166dd</Id>
    <LogicalLevel>2</LogicalLevel>
    <Name>GROW.H</Name>
    <HeadLine1>Ecosystems III: Construction, Machinery and Standardisation</HeadLine1>
    <HeadLine2/>
    <PrimaryAddressId>f03b5801-04c9-4931-aa17-c6d6c70bc579</PrimaryAddressId>
    <SecondaryAddressId/>
    <WebAddress/>
    <InheritedWebAddress>WebAddress</InheritedWebAddress>
    <ShowInHeader>true</ShowInHeader>
  </OrgaEntity2>
  <OrgaEntity3>
    <Id>5221346a-7fa0-423a-bc49-1fb01737a8e5</Id>
    <LogicalLevel>3</LogicalLevel>
    <Name>GROW.H.2</Name>
    <HeadLine1>H.2 – Machinery &amp; Equipment</HeadLine1>
    <HeadLine2/>
    <PrimaryAddressId>f03b5801-04c9-4931-aa17-c6d6c70bc579</PrimaryAddressId>
    <SecondaryAddressId/>
    <WebAddress/>
    <InheritedWebAddress>WebAddress</InheritedWebAddress>
    <ShowInHeader>true</ShowInHeader>
  </OrgaEntity3>
  <Hierarchy>
    <OrgaEntity>
      <Id>8e50828d-b980-4366-bc08-2a20f760600e</Id>
      <LogicalLevel>1</LogicalLevel>
      <Name>GROW</Name>
      <HeadLine1>DIRECTORATE-GENERAL FOR INTERNAL MARKET, INDUSTRY, ENTREPRENEURSHIP</HeadLine1>
      <HeadLine2>AND SMES</HeadLine2>
      <PrimaryAddressId>f03b5801-04c9-4931-aa17-c6d6c70bc579</PrimaryAddressId>
      <SecondaryAddressId/>
      <WebAddress>WebAddress</WebAddress>
      <InheritedWebAddress>WebAddress</InheritedWebAddress>
      <ShowInHeader>true</ShowInHeader>
    </OrgaEntity>
    <OrgaEntity>
      <Id>4609b496-4981-44c7-b5be-a31069f166dd</Id>
      <LogicalLevel>2</LogicalLevel>
      <Name>GROW.H</Name>
      <HeadLine1>Ecosystems III: Construction, Machinery and Standardisation</HeadLine1>
      <HeadLine2/>
      <PrimaryAddressId>f03b5801-04c9-4931-aa17-c6d6c70bc579</PrimaryAddressId>
      <SecondaryAddressId/>
      <WebAddress/>
      <InheritedWebAddress>WebAddress</InheritedWebAddress>
      <ShowInHeader>true</ShowInHeader>
    </OrgaEntity>
    <OrgaEntity>
      <Id>5221346a-7fa0-423a-bc49-1fb01737a8e5</Id>
      <LogicalLevel>3</LogicalLevel>
      <Name>GROW.H.2</Name>
      <HeadLine1>H.2 – Machinery &amp; Equipment</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+32 229-93488</Phone>
    <Office>BREY 10/160</Office>
  </MainWorkplace>
  <Workplaces>
    <Workplace IsMain="true">
      <AddressId>f03b5801-04c9-4931-aa17-c6d6c70bc579</AddressId>
      <Fax/>
      <Phone>+32 229-93488</Phone>
      <Office>BREY 10/160</Office>
    </Workplace>
  </Workplaces>
</Author>
</file>

<file path=customXml/item4.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3EA5527-7367-4268-9D83-5125C98D0ED2}">
  <ds:schemaRefs/>
</ds:datastoreItem>
</file>

<file path=customXml/itemProps2.xml><?xml version="1.0" encoding="utf-8"?>
<ds:datastoreItem xmlns:ds="http://schemas.openxmlformats.org/officeDocument/2006/customXml" ds:itemID="{1A6FDB79-E74E-44BD-83A4-947156716E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bb309f-f7c4-4e3e-8b03-43014cad50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A172B2-E7B5-496A-973C-8A8C981B351A}">
  <ds:schemaRefs/>
</ds:datastoreItem>
</file>

<file path=customXml/itemProps4.xml><?xml version="1.0" encoding="utf-8"?>
<ds:datastoreItem xmlns:ds="http://schemas.openxmlformats.org/officeDocument/2006/customXml" ds:itemID="{4EF90DE6-88B6-4264-9629-4D8DFDFE87D2}">
  <ds:schemaRefs/>
</ds:datastoreItem>
</file>

<file path=customXml/itemProps5.xml><?xml version="1.0" encoding="utf-8"?>
<ds:datastoreItem xmlns:ds="http://schemas.openxmlformats.org/officeDocument/2006/customXml" ds:itemID="{1110E6F6-F1B0-40CE-A38B-3A1B71049FF3}">
  <ds:schemaRefs>
    <ds:schemaRef ds:uri="f5bb309f-f7c4-4e3e-8b03-43014cad50ef"/>
    <ds:schemaRef ds:uri="http://www.w3.org/XML/1998/namespace"/>
    <ds:schemaRef ds:uri="http://schemas.microsoft.com/office/2006/metadata/properties"/>
    <ds:schemaRef ds:uri="http://schemas.microsoft.com/office/infopath/2007/PartnerControls"/>
    <ds:schemaRef ds:uri="http://purl.org/dc/elements/1.1/"/>
    <ds:schemaRef ds:uri="http://schemas.microsoft.com/office/2006/documentManagement/types"/>
    <ds:schemaRef ds:uri="http://schemas.openxmlformats.org/package/2006/metadata/core-properties"/>
    <ds:schemaRef ds:uri="http://purl.org/dc/dcmitype/"/>
    <ds:schemaRef ds:uri="http://purl.org/dc/terms/"/>
  </ds:schemaRefs>
</ds:datastoreItem>
</file>

<file path=customXml/itemProps6.xml><?xml version="1.0" encoding="utf-8"?>
<ds:datastoreItem xmlns:ds="http://schemas.openxmlformats.org/officeDocument/2006/customXml" ds:itemID="{E1EB8CB4-3E33-4C18-B7BD-5A823DCAA2C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Eurolook.dotm</Template>
  <TotalTime>9</TotalTime>
  <Pages>4</Pages>
  <Words>1224</Words>
  <Characters>6980</Characters>
  <Application>Microsoft Office Word</Application>
  <DocSecurity>0</DocSecurity>
  <PresentationFormat>Microsoft Word 14.0</PresentationFormat>
  <Lines>58</Lines>
  <Paragraphs>16</Paragraphs>
  <ScaleCrop>true</ScaleCrop>
  <Company/>
  <LinksUpToDate>false</LinksUpToDate>
  <CharactersWithSpaces>8188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GUIDAN</dc:title>
  <dc:subject/>
  <dc:creator>VEGA FIDALGO Luis Miguel (GROW)</dc:creator>
  <cp:keywords/>
  <dc:description/>
  <cp:lastModifiedBy>VEGA FIDALGO Luis Miguel (GROW)</cp:lastModifiedBy>
  <cp:revision>15</cp:revision>
  <dcterms:created xsi:type="dcterms:W3CDTF">2025-01-29T14:40:00Z</dcterms:created>
  <dcterms:modified xsi:type="dcterms:W3CDTF">2025-01-29T15:24:00Z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urolookVersion">
    <vt:lpwstr>10.0</vt:lpwstr>
  </property>
  <property fmtid="{D5CDD505-2E9C-101B-9397-08002B2CF9AE}" pid="3" name="MSIP_Label_6bd9ddd1-4d20-43f6-abfa-fc3c07406f94_Enabled">
    <vt:lpwstr>true</vt:lpwstr>
  </property>
  <property fmtid="{D5CDD505-2E9C-101B-9397-08002B2CF9AE}" pid="4" name="MSIP_Label_6bd9ddd1-4d20-43f6-abfa-fc3c07406f94_SetDate">
    <vt:lpwstr>2025-01-28T16:00:28Z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374cd16e-2a3b-43b6-96b1-558611b850d5</vt:lpwstr>
  </property>
  <property fmtid="{D5CDD505-2E9C-101B-9397-08002B2CF9AE}" pid="9" name="MSIP_Label_6bd9ddd1-4d20-43f6-abfa-fc3c07406f94_ContentBits">
    <vt:lpwstr>0</vt:lpwstr>
  </property>
  <property fmtid="{D5CDD505-2E9C-101B-9397-08002B2CF9AE}" pid="10" name="ContentTypeId">
    <vt:lpwstr>0x010100159C0AD6FB6ACE4A830182AC83E20278</vt:lpwstr>
  </property>
</Properties>
</file>