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59344D" w14:textId="6ED1D103" w:rsidR="008C42CC" w:rsidRDefault="00B70E85" w:rsidP="00B70E85">
      <w:pPr>
        <w:pStyle w:val="Pagedecouverture"/>
      </w:pPr>
      <w:r>
        <w:pict w14:anchorId="796C222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alt="8FE6A2D7-0547-4ED5-B93A-A0CBC631AA17" style="width:455.4pt;height:582.6pt">
            <v:imagedata r:id="rId11" o:title=""/>
          </v:shape>
        </w:pict>
      </w:r>
    </w:p>
    <w:p w14:paraId="5E38487C" w14:textId="77777777" w:rsidR="008C42CC" w:rsidRDefault="008C42CC" w:rsidP="008C42CC">
      <w:pPr>
        <w:sectPr w:rsidR="008C42CC" w:rsidSect="00B70E85">
          <w:headerReference w:type="even" r:id="rId12"/>
          <w:headerReference w:type="default" r:id="rId13"/>
          <w:footerReference w:type="even" r:id="rId14"/>
          <w:footerReference w:type="default" r:id="rId15"/>
          <w:headerReference w:type="first" r:id="rId16"/>
          <w:footerReference w:type="first" r:id="rId17"/>
          <w:pgSz w:w="11907" w:h="16839"/>
          <w:pgMar w:top="1134" w:right="1417" w:bottom="1134" w:left="1417" w:header="709" w:footer="709" w:gutter="0"/>
          <w:pgNumType w:start="0"/>
          <w:cols w:space="720"/>
          <w:docGrid w:linePitch="360"/>
        </w:sectPr>
      </w:pPr>
    </w:p>
    <w:p w14:paraId="3041A712" w14:textId="77777777" w:rsidR="008C42CC" w:rsidRPr="00FB18DC" w:rsidRDefault="008C42CC" w:rsidP="006A30A8">
      <w:pPr>
        <w:pStyle w:val="Exposdesmotifstitre"/>
      </w:pPr>
      <w:r w:rsidRPr="00FB18DC">
        <w:lastRenderedPageBreak/>
        <w:t>EXPLANATORY MEMORANDUM</w:t>
      </w:r>
    </w:p>
    <w:p w14:paraId="61B33833" w14:textId="77777777" w:rsidR="008C42CC" w:rsidRDefault="008C42CC" w:rsidP="006A30A8">
      <w:pPr>
        <w:pStyle w:val="ManualHeading1"/>
      </w:pPr>
      <w:r w:rsidRPr="00FB18DC">
        <w:t>1.</w:t>
      </w:r>
      <w:r w:rsidRPr="00FB18DC">
        <w:tab/>
      </w:r>
      <w:r>
        <w:t>CONTEXT OF THE DELEGATED ACT</w:t>
      </w:r>
    </w:p>
    <w:p w14:paraId="0FFA8BFF" w14:textId="21EF95F4" w:rsidR="008C42CC" w:rsidRPr="00B15884" w:rsidRDefault="008C42CC" w:rsidP="008C42CC">
      <w:pPr>
        <w:spacing w:before="360"/>
        <w:rPr>
          <w:rFonts w:eastAsia="Times New Roman"/>
        </w:rPr>
      </w:pPr>
      <w:r w:rsidRPr="58A70C91">
        <w:rPr>
          <w:rFonts w:eastAsia="Times New Roman"/>
        </w:rPr>
        <w:t>Regulation (EC) No 1272/2008 on classification, labelling and packaging of substances and mixtures (</w:t>
      </w:r>
      <w:r w:rsidR="00180109">
        <w:rPr>
          <w:rFonts w:eastAsia="Times New Roman"/>
        </w:rPr>
        <w:t xml:space="preserve">‘the </w:t>
      </w:r>
      <w:r w:rsidRPr="58A70C91">
        <w:rPr>
          <w:rFonts w:eastAsia="Times New Roman"/>
        </w:rPr>
        <w:t>CLP</w:t>
      </w:r>
      <w:r w:rsidR="00180109">
        <w:rPr>
          <w:rFonts w:eastAsia="Times New Roman"/>
        </w:rPr>
        <w:t xml:space="preserve"> Regulation’</w:t>
      </w:r>
      <w:r w:rsidRPr="58A70C91">
        <w:rPr>
          <w:rFonts w:eastAsia="Times New Roman"/>
        </w:rPr>
        <w:t xml:space="preserve">) aims to ensure a high level of protection of human health and the environment, while ensuring the free movement of substances, mixtures and articles within the </w:t>
      </w:r>
      <w:r w:rsidR="0023729C">
        <w:rPr>
          <w:rFonts w:eastAsia="Times New Roman"/>
        </w:rPr>
        <w:t>single</w:t>
      </w:r>
      <w:r w:rsidRPr="58A70C91">
        <w:rPr>
          <w:rFonts w:eastAsia="Times New Roman"/>
        </w:rPr>
        <w:t xml:space="preserve"> market. These objectives are achieved, </w:t>
      </w:r>
      <w:r w:rsidR="0023729C" w:rsidRPr="00C46158">
        <w:rPr>
          <w:rFonts w:eastAsia="Times New Roman"/>
        </w:rPr>
        <w:t>in part</w:t>
      </w:r>
      <w:r w:rsidR="0023729C">
        <w:rPr>
          <w:rFonts w:eastAsia="Times New Roman"/>
        </w:rPr>
        <w:t>,</w:t>
      </w:r>
      <w:r w:rsidRPr="58A70C91">
        <w:rPr>
          <w:rFonts w:eastAsia="Times New Roman"/>
        </w:rPr>
        <w:t xml:space="preserve"> </w:t>
      </w:r>
      <w:r w:rsidR="001C3AAA">
        <w:rPr>
          <w:rFonts w:eastAsia="Times New Roman"/>
        </w:rPr>
        <w:t>by</w:t>
      </w:r>
      <w:r w:rsidRPr="58A70C91">
        <w:rPr>
          <w:rFonts w:eastAsia="Times New Roman"/>
        </w:rPr>
        <w:t xml:space="preserve"> the </w:t>
      </w:r>
      <w:r w:rsidR="001C3AAA">
        <w:rPr>
          <w:rFonts w:eastAsia="Times New Roman"/>
        </w:rPr>
        <w:t>laying down</w:t>
      </w:r>
      <w:r w:rsidRPr="58A70C91">
        <w:rPr>
          <w:rFonts w:eastAsia="Times New Roman"/>
        </w:rPr>
        <w:t xml:space="preserve"> of harmonised classification and labelling requirements in Annex VI</w:t>
      </w:r>
      <w:r w:rsidR="006271FE">
        <w:rPr>
          <w:rFonts w:eastAsia="Times New Roman"/>
        </w:rPr>
        <w:t xml:space="preserve"> of the </w:t>
      </w:r>
      <w:r w:rsidR="005B653F">
        <w:rPr>
          <w:rFonts w:eastAsia="Times New Roman"/>
        </w:rPr>
        <w:t xml:space="preserve">CLP </w:t>
      </w:r>
      <w:r w:rsidR="006271FE">
        <w:rPr>
          <w:rFonts w:eastAsia="Times New Roman"/>
        </w:rPr>
        <w:t>Regulation</w:t>
      </w:r>
      <w:r w:rsidRPr="58A70C91">
        <w:rPr>
          <w:rFonts w:eastAsia="Times New Roman"/>
        </w:rPr>
        <w:t xml:space="preserve">. </w:t>
      </w:r>
    </w:p>
    <w:p w14:paraId="19D96AC3" w14:textId="00C0F852" w:rsidR="008C42CC" w:rsidRDefault="008C42CC" w:rsidP="008C42CC">
      <w:pPr>
        <w:spacing w:before="240" w:after="240"/>
        <w:rPr>
          <w:rFonts w:eastAsia="Times New Roman"/>
        </w:rPr>
      </w:pPr>
      <w:r w:rsidRPr="58A70C91">
        <w:rPr>
          <w:rFonts w:eastAsia="Times New Roman"/>
        </w:rPr>
        <w:t xml:space="preserve">Article 37(7) point (b) of </w:t>
      </w:r>
      <w:r w:rsidR="006271FE">
        <w:rPr>
          <w:rFonts w:eastAsia="Times New Roman"/>
        </w:rPr>
        <w:t xml:space="preserve">the CLP </w:t>
      </w:r>
      <w:r w:rsidRPr="58A70C91">
        <w:rPr>
          <w:rFonts w:eastAsia="Times New Roman"/>
        </w:rPr>
        <w:t xml:space="preserve">Regulation empowers the Commission to include in Table 3 of Part 3 of Annex VI substances identified as endocrine disruptors or as persistent, bioaccumulative and toxic (PBT) or very persistent and very bioaccumulative (vPvB) under Regulation (EC) No 1907/2006, Regulation (EC) No 1107/2009 or Regulation (EU) No 528/2012, based on the scientific assessments carried out under those legislative frameworks. This </w:t>
      </w:r>
      <w:r w:rsidR="00776571">
        <w:rPr>
          <w:rFonts w:eastAsia="Times New Roman"/>
        </w:rPr>
        <w:t>Article</w:t>
      </w:r>
      <w:r w:rsidR="00BD075F">
        <w:rPr>
          <w:rFonts w:eastAsia="Times New Roman"/>
        </w:rPr>
        <w:t xml:space="preserve"> </w:t>
      </w:r>
      <w:r w:rsidRPr="58A70C91">
        <w:rPr>
          <w:rFonts w:eastAsia="Times New Roman"/>
        </w:rPr>
        <w:t xml:space="preserve">ensures that existing evaluations of hazardous properties are systematically reflected in the CLP framework, in line with the “one substance - one assessment” principle, and in order to avoid any duplication of work. </w:t>
      </w:r>
    </w:p>
    <w:p w14:paraId="44E18C5D" w14:textId="35D6CB72" w:rsidR="008C42CC" w:rsidRDefault="008C42CC" w:rsidP="008C42CC">
      <w:pPr>
        <w:spacing w:before="240" w:after="240"/>
        <w:rPr>
          <w:rFonts w:eastAsia="Times New Roman"/>
        </w:rPr>
      </w:pPr>
      <w:r w:rsidRPr="58A70C91">
        <w:rPr>
          <w:rFonts w:eastAsia="Times New Roman"/>
        </w:rPr>
        <w:t xml:space="preserve">The resulting costs for stakeholders </w:t>
      </w:r>
      <w:r w:rsidR="002200B8">
        <w:rPr>
          <w:rFonts w:eastAsia="Times New Roman"/>
        </w:rPr>
        <w:t>from inclusion of the above-mentioned substances in</w:t>
      </w:r>
      <w:r w:rsidR="001D7175">
        <w:rPr>
          <w:rFonts w:eastAsia="Times New Roman"/>
        </w:rPr>
        <w:t xml:space="preserve"> Table 3 of</w:t>
      </w:r>
      <w:r w:rsidR="002200B8">
        <w:rPr>
          <w:rFonts w:eastAsia="Times New Roman"/>
        </w:rPr>
        <w:t xml:space="preserve"> Part 3</w:t>
      </w:r>
      <w:r w:rsidR="00BD075F">
        <w:rPr>
          <w:rFonts w:eastAsia="Times New Roman"/>
        </w:rPr>
        <w:t xml:space="preserve"> </w:t>
      </w:r>
      <w:r w:rsidR="002200B8">
        <w:rPr>
          <w:rFonts w:eastAsia="Times New Roman"/>
        </w:rPr>
        <w:t xml:space="preserve">of Annex VI </w:t>
      </w:r>
      <w:r w:rsidR="00BD075F">
        <w:rPr>
          <w:rFonts w:eastAsia="Times New Roman"/>
        </w:rPr>
        <w:t>to</w:t>
      </w:r>
      <w:r w:rsidR="005A3B65">
        <w:rPr>
          <w:rFonts w:eastAsia="Times New Roman"/>
        </w:rPr>
        <w:t xml:space="preserve"> </w:t>
      </w:r>
      <w:r w:rsidR="00CE6112">
        <w:rPr>
          <w:rFonts w:eastAsia="Times New Roman"/>
        </w:rPr>
        <w:t xml:space="preserve">the </w:t>
      </w:r>
      <w:r w:rsidR="00D03B13">
        <w:rPr>
          <w:rFonts w:eastAsia="Times New Roman"/>
        </w:rPr>
        <w:t>CLP Regulation</w:t>
      </w:r>
      <w:r w:rsidR="005A3B65">
        <w:rPr>
          <w:rFonts w:eastAsia="Times New Roman"/>
        </w:rPr>
        <w:t xml:space="preserve"> </w:t>
      </w:r>
      <w:r w:rsidRPr="58A70C91">
        <w:rPr>
          <w:rFonts w:eastAsia="Times New Roman"/>
        </w:rPr>
        <w:t xml:space="preserve">are expected to be limited, as </w:t>
      </w:r>
      <w:r w:rsidR="003956B3" w:rsidRPr="58A70C91">
        <w:rPr>
          <w:rFonts w:eastAsia="Times New Roman"/>
        </w:rPr>
        <w:t>th</w:t>
      </w:r>
      <w:r w:rsidR="003956B3">
        <w:rPr>
          <w:rFonts w:eastAsia="Times New Roman"/>
        </w:rPr>
        <w:t>ose</w:t>
      </w:r>
      <w:r w:rsidR="003956B3" w:rsidRPr="58A70C91">
        <w:rPr>
          <w:rFonts w:eastAsia="Times New Roman"/>
        </w:rPr>
        <w:t xml:space="preserve"> </w:t>
      </w:r>
      <w:r w:rsidRPr="58A70C91">
        <w:rPr>
          <w:rFonts w:eastAsia="Times New Roman"/>
        </w:rPr>
        <w:t xml:space="preserve">substances have already been scientifically assessed and identified as endocrine disruptors, PBT or vPvB under Regulation (EC) No 1907/2006, Regulation (EC) No 1107/2009 or Regulation (EU) No 528/2012. However, any additional potential costs linked to labelling are further mitigated by a transitional period of </w:t>
      </w:r>
      <w:r w:rsidR="00F21732">
        <w:rPr>
          <w:rFonts w:eastAsia="Times New Roman"/>
        </w:rPr>
        <w:t>18</w:t>
      </w:r>
      <w:r w:rsidRPr="58A70C91">
        <w:rPr>
          <w:rFonts w:eastAsia="Times New Roman"/>
        </w:rPr>
        <w:t xml:space="preserve"> months. </w:t>
      </w:r>
    </w:p>
    <w:p w14:paraId="4ED331D5" w14:textId="77777777" w:rsidR="008C42CC" w:rsidRDefault="008C42CC" w:rsidP="006A30A8">
      <w:pPr>
        <w:pStyle w:val="ManualHeading1"/>
      </w:pPr>
      <w:r w:rsidRPr="00FB18DC">
        <w:t>2.</w:t>
      </w:r>
      <w:r w:rsidRPr="00FB18DC">
        <w:tab/>
      </w:r>
      <w:r>
        <w:t>CONSULTATIONS PRIOR TO THE ADOPTION OF THE ACT</w:t>
      </w:r>
    </w:p>
    <w:p w14:paraId="14AD1390" w14:textId="77777777" w:rsidR="008C42CC" w:rsidRPr="008C42CC" w:rsidRDefault="008C42CC" w:rsidP="008C42CC">
      <w:pPr>
        <w:spacing w:before="360" w:line="279" w:lineRule="auto"/>
        <w:ind w:left="850" w:hanging="850"/>
        <w:rPr>
          <w:rFonts w:ascii="Aptos" w:eastAsia="MS Mincho" w:hAnsi="Aptos" w:cs="Arial"/>
          <w:i/>
          <w:color w:val="000000"/>
          <w:sz w:val="22"/>
          <w:lang w:eastAsia="ja-JP"/>
        </w:rPr>
      </w:pPr>
      <w:r w:rsidRPr="008C42CC">
        <w:rPr>
          <w:rFonts w:ascii="Aptos" w:eastAsia="MS Mincho" w:hAnsi="Aptos" w:cs="Arial"/>
          <w:i/>
          <w:color w:val="000000"/>
          <w:sz w:val="22"/>
          <w:lang w:eastAsia="ja-JP"/>
        </w:rPr>
        <w:t xml:space="preserve">(To </w:t>
      </w:r>
      <w:r w:rsidRPr="008C42CC">
        <w:rPr>
          <w:rFonts w:ascii="Aptos" w:eastAsia="MS Mincho" w:hAnsi="Aptos" w:cs="Arial"/>
          <w:i/>
          <w:iCs/>
          <w:color w:val="000000"/>
          <w:sz w:val="22"/>
          <w:lang w:eastAsia="ja-JP"/>
        </w:rPr>
        <w:t>be completed after the public consultation)</w:t>
      </w:r>
    </w:p>
    <w:p w14:paraId="7C75CCF2" w14:textId="77777777" w:rsidR="008C42CC" w:rsidRDefault="008C42CC" w:rsidP="006A30A8">
      <w:pPr>
        <w:pStyle w:val="ManualHeading1"/>
      </w:pPr>
      <w:r w:rsidRPr="00FB18DC">
        <w:t>3.</w:t>
      </w:r>
      <w:r w:rsidRPr="00FB18DC">
        <w:tab/>
      </w:r>
      <w:r>
        <w:t>LEGAL ELEMENTS OF THE DELEGATED ACT</w:t>
      </w:r>
    </w:p>
    <w:p w14:paraId="31787F09" w14:textId="539BE148" w:rsidR="00BF787D" w:rsidRDefault="00BF787D" w:rsidP="00BF787D">
      <w:r>
        <w:t xml:space="preserve">The legal act amends Regulation (EC) No 1272/2008. The legal basis of this delegated act is Article 37(7) of Regulation (EC) No 1272/2008.  </w:t>
      </w:r>
    </w:p>
    <w:p w14:paraId="2E9B827E" w14:textId="77777777" w:rsidR="008C42CC" w:rsidRDefault="008C42CC" w:rsidP="006A30A8">
      <w:pPr>
        <w:sectPr w:rsidR="008C42CC" w:rsidSect="00B70E85">
          <w:headerReference w:type="even" r:id="rId18"/>
          <w:footerReference w:type="even" r:id="rId19"/>
          <w:footerReference w:type="default" r:id="rId20"/>
          <w:headerReference w:type="first" r:id="rId21"/>
          <w:footerReference w:type="first" r:id="rId22"/>
          <w:pgSz w:w="11907" w:h="16839"/>
          <w:pgMar w:top="1134" w:right="1417" w:bottom="1134" w:left="1417" w:header="709" w:footer="709" w:gutter="0"/>
          <w:cols w:space="708"/>
          <w:docGrid w:linePitch="360"/>
        </w:sectPr>
      </w:pPr>
    </w:p>
    <w:p w14:paraId="1EE9F564" w14:textId="20241D7F" w:rsidR="008C42CC" w:rsidRPr="00937BA9" w:rsidRDefault="00560B1A" w:rsidP="00560B1A">
      <w:pPr>
        <w:pStyle w:val="Typedudocument"/>
      </w:pPr>
      <w:r w:rsidRPr="00560B1A">
        <w:lastRenderedPageBreak/>
        <w:t>COMMISSION DELEGATED REGULATION (EU) …/...</w:t>
      </w:r>
    </w:p>
    <w:p w14:paraId="1077BA19" w14:textId="4707BF09" w:rsidR="008C42CC" w:rsidRPr="00CE4FF7" w:rsidRDefault="00560B1A" w:rsidP="00560B1A">
      <w:pPr>
        <w:pStyle w:val="Datedadoption"/>
      </w:pPr>
      <w:r w:rsidRPr="00560B1A">
        <w:t xml:space="preserve">of </w:t>
      </w:r>
      <w:r w:rsidRPr="00560B1A">
        <w:rPr>
          <w:rStyle w:val="Marker2"/>
        </w:rPr>
        <w:t>XXX</w:t>
      </w:r>
    </w:p>
    <w:p w14:paraId="5C2B1078" w14:textId="0734553F" w:rsidR="008C42CC" w:rsidRPr="00CE4FF7" w:rsidRDefault="00560B1A" w:rsidP="00560B1A">
      <w:pPr>
        <w:pStyle w:val="Titreobjet"/>
      </w:pPr>
      <w:r w:rsidRPr="00560B1A">
        <w:t>amending Regulation (EC) No 1272/2008 of the European Parliament and of the Council as regards the harmonised classification and labelling of certain substances</w:t>
      </w:r>
    </w:p>
    <w:p w14:paraId="7B23BF0E" w14:textId="71EB0BBB" w:rsidR="008C42CC" w:rsidRPr="008C42CC" w:rsidRDefault="00560B1A" w:rsidP="00560B1A">
      <w:pPr>
        <w:pStyle w:val="IntrtEEE"/>
      </w:pPr>
      <w:r w:rsidRPr="00560B1A">
        <w:t>(Text with EEA relevance)</w:t>
      </w:r>
    </w:p>
    <w:p w14:paraId="256578C5" w14:textId="77777777" w:rsidR="008C42CC" w:rsidRPr="00937BA9" w:rsidRDefault="008C42CC" w:rsidP="006A30A8">
      <w:pPr>
        <w:pStyle w:val="Institutionquiagit"/>
      </w:pPr>
      <w:r w:rsidRPr="00937BA9">
        <w:t>THE EUROPEAN COMMISSION,</w:t>
      </w:r>
    </w:p>
    <w:p w14:paraId="40D6DAA2" w14:textId="77777777" w:rsidR="008C42CC" w:rsidRPr="00937BA9" w:rsidRDefault="008C42CC" w:rsidP="006A30A8">
      <w:r w:rsidRPr="00937BA9">
        <w:rPr>
          <w:color w:val="000000"/>
        </w:rPr>
        <w:t>Having regard to the Treaty on the Functioning of the European Union</w:t>
      </w:r>
      <w:r w:rsidRPr="00937BA9">
        <w:t>,</w:t>
      </w:r>
    </w:p>
    <w:p w14:paraId="0D8E541E" w14:textId="48C5B601" w:rsidR="008C42CC" w:rsidRPr="00937BA9" w:rsidRDefault="008C42CC" w:rsidP="006A30A8">
      <w:r w:rsidRPr="00937BA9">
        <w:t xml:space="preserve">Having regard to </w:t>
      </w:r>
      <w:r w:rsidR="00C2636C" w:rsidRPr="00DD5835">
        <w:t>Regulation (EC) No 1272/2008 of the European Parliament and of the Council of 16 December 2008 on classification, labelling and packaging of substances and mixtures, amending Regulation (EC) No 1907/2006</w:t>
      </w:r>
      <w:r w:rsidRPr="00937BA9">
        <w:rPr>
          <w:rStyle w:val="FootnoteReference"/>
        </w:rPr>
        <w:footnoteReference w:id="1"/>
      </w:r>
      <w:r w:rsidRPr="00937BA9">
        <w:t xml:space="preserve">, and in particular </w:t>
      </w:r>
      <w:r w:rsidRPr="00CE1F08">
        <w:t xml:space="preserve">Article </w:t>
      </w:r>
      <w:r w:rsidR="00375DE2" w:rsidRPr="00CE1F08">
        <w:t>37(7)</w:t>
      </w:r>
      <w:r w:rsidR="00977632" w:rsidRPr="00977632">
        <w:t>,</w:t>
      </w:r>
      <w:r w:rsidR="00977632">
        <w:t xml:space="preserve"> point (b),</w:t>
      </w:r>
      <w:r w:rsidR="00375DE2">
        <w:t xml:space="preserve"> </w:t>
      </w:r>
      <w:r w:rsidRPr="00937BA9">
        <w:t>thereof,</w:t>
      </w:r>
    </w:p>
    <w:p w14:paraId="283DBF84" w14:textId="77777777" w:rsidR="008C42CC" w:rsidRPr="00937BA9" w:rsidRDefault="008C42CC" w:rsidP="006A30A8">
      <w:r w:rsidRPr="00937BA9">
        <w:t>Whereas:</w:t>
      </w:r>
    </w:p>
    <w:p w14:paraId="08618397" w14:textId="189A45EF" w:rsidR="00C2636C" w:rsidRDefault="00C2636C" w:rsidP="00743CDD">
      <w:pPr>
        <w:pStyle w:val="Considrant"/>
        <w:numPr>
          <w:ilvl w:val="0"/>
          <w:numId w:val="21"/>
        </w:numPr>
      </w:pPr>
      <w:r w:rsidRPr="00C2636C">
        <w:t>The</w:t>
      </w:r>
      <w:r w:rsidR="00C65977">
        <w:t xml:space="preserve"> European Chemicals</w:t>
      </w:r>
      <w:r w:rsidRPr="00C2636C">
        <w:t xml:space="preserve"> Agency</w:t>
      </w:r>
      <w:r w:rsidR="00C65977">
        <w:t xml:space="preserve"> (the Agency)</w:t>
      </w:r>
      <w:r w:rsidRPr="00C2636C">
        <w:t xml:space="preserve"> has included certain substances in the candidate list referred to in Article 59(1) of Regulation (EC) No 1907/2006</w:t>
      </w:r>
      <w:r w:rsidR="00180ABE">
        <w:t xml:space="preserve"> </w:t>
      </w:r>
      <w:r w:rsidR="00AE2734">
        <w:t>of the European Parliament and of the Council</w:t>
      </w:r>
      <w:r w:rsidR="00AE2734">
        <w:rPr>
          <w:rStyle w:val="FootnoteReference"/>
        </w:rPr>
        <w:footnoteReference w:id="2"/>
      </w:r>
      <w:r w:rsidR="00AE2734">
        <w:t xml:space="preserve"> </w:t>
      </w:r>
      <w:r w:rsidR="00D33173" w:rsidRPr="00030DE3">
        <w:t>as having endocrine disrupting properties for human health or the environment, or as persistent, bioaccumulative and toxic, or very persistent and very bioaccumulative</w:t>
      </w:r>
      <w:r w:rsidRPr="00C2636C">
        <w:t xml:space="preserve">, by adopting the </w:t>
      </w:r>
      <w:r w:rsidRPr="008F7734">
        <w:t xml:space="preserve">following </w:t>
      </w:r>
      <w:r w:rsidRPr="00162A8D">
        <w:t>decisions</w:t>
      </w:r>
      <w:r w:rsidR="00B0410F" w:rsidRPr="008F7734">
        <w:rPr>
          <w:rStyle w:val="FootnoteReference"/>
        </w:rPr>
        <w:footnoteReference w:id="3"/>
      </w:r>
      <w:r w:rsidRPr="00F7073F">
        <w:t>:</w:t>
      </w:r>
      <w:r w:rsidR="00180ABE">
        <w:t xml:space="preserve"> </w:t>
      </w:r>
    </w:p>
    <w:p w14:paraId="74CAA2B7" w14:textId="3C26A972" w:rsidR="00B77852" w:rsidRDefault="44756CD9" w:rsidP="00743CDD">
      <w:pPr>
        <w:pStyle w:val="Tiret1"/>
        <w:numPr>
          <w:ilvl w:val="0"/>
          <w:numId w:val="5"/>
        </w:numPr>
        <w:rPr>
          <w:rStyle w:val="FootnoteReference"/>
        </w:rPr>
      </w:pPr>
      <w:r>
        <w:t>Decision of 28 October 2008 concerning bis(tributyltin) oxide [TBTO];</w:t>
      </w:r>
    </w:p>
    <w:p w14:paraId="26C19453" w14:textId="644FC3E7" w:rsidR="00B77852" w:rsidRDefault="44756CD9" w:rsidP="339199E3">
      <w:pPr>
        <w:pStyle w:val="Tiret1"/>
        <w:rPr>
          <w:rStyle w:val="FootnoteReference"/>
        </w:rPr>
      </w:pPr>
      <w:r>
        <w:t>Decision of 28 October 2008 concerning anthracene;</w:t>
      </w:r>
    </w:p>
    <w:p w14:paraId="10EF953F" w14:textId="4E14E8B7" w:rsidR="00B77852" w:rsidRDefault="44756CD9" w:rsidP="339199E3">
      <w:pPr>
        <w:pStyle w:val="Tiret1"/>
        <w:rPr>
          <w:rStyle w:val="FootnoteReference"/>
        </w:rPr>
      </w:pPr>
      <w:r>
        <w:t>Decision of 28 October 2008 concerning hexabromocyclododecane [HBCDD], including its main isomers α-hexabromocyclododecane [α-HBCDD], β-hexabromocyclododecane [β-HBCDD] and γ-hexabromocyclododecane [γ-HBCDD];</w:t>
      </w:r>
    </w:p>
    <w:p w14:paraId="33156F4A" w14:textId="593A56A4" w:rsidR="00B77852" w:rsidRDefault="071B064C" w:rsidP="339199E3">
      <w:pPr>
        <w:pStyle w:val="Tiret1"/>
        <w:rPr>
          <w:rStyle w:val="FootnoteReference"/>
        </w:rPr>
      </w:pPr>
      <w:r>
        <w:t>Decision of 28 October 2008 concerning 5-tert-butyl-2,4,6-trinitro-m-xylene; musk xylene;</w:t>
      </w:r>
    </w:p>
    <w:p w14:paraId="0CA61790" w14:textId="43B11A7A" w:rsidR="00B77852" w:rsidRDefault="3A4B9EEF" w:rsidP="339199E3">
      <w:pPr>
        <w:pStyle w:val="Tiret1"/>
        <w:rPr>
          <w:rStyle w:val="FootnoteReference"/>
        </w:rPr>
      </w:pPr>
      <w:r>
        <w:t>Decision of 28 October 2008 concerning alkanes, C10-13, chloro (Short Chain Chlorinated Paraffins);</w:t>
      </w:r>
    </w:p>
    <w:p w14:paraId="5910B492" w14:textId="43F0A368" w:rsidR="00B77852" w:rsidRDefault="42594EE3" w:rsidP="339199E3">
      <w:pPr>
        <w:pStyle w:val="Tiret1"/>
        <w:rPr>
          <w:rStyle w:val="FootnoteReference"/>
        </w:rPr>
      </w:pPr>
      <w:r>
        <w:t>Decision of 22 December 2009 concerning diisobutyl phthalate [DIBP];</w:t>
      </w:r>
    </w:p>
    <w:p w14:paraId="22B0BCE2" w14:textId="14193F25" w:rsidR="00B77852" w:rsidRDefault="4782100C" w:rsidP="339199E3">
      <w:pPr>
        <w:pStyle w:val="Tiret1"/>
        <w:rPr>
          <w:rStyle w:val="FootnoteReference"/>
        </w:rPr>
      </w:pPr>
      <w:r>
        <w:t>Decision of 22 December 2009 concerning pitch, coal tar, high-temp;</w:t>
      </w:r>
    </w:p>
    <w:p w14:paraId="7AF74DAA" w14:textId="5DCBA7C4" w:rsidR="00B77852" w:rsidRDefault="6D22E6EB" w:rsidP="339199E3">
      <w:pPr>
        <w:pStyle w:val="Tiret1"/>
        <w:rPr>
          <w:rStyle w:val="FootnoteReference"/>
        </w:rPr>
      </w:pPr>
      <w:r>
        <w:lastRenderedPageBreak/>
        <w:t>Decision of 22 December 2009 concerning anthracene oil and anthracene oil fractions;</w:t>
      </w:r>
    </w:p>
    <w:p w14:paraId="3C817D0E" w14:textId="3B364E00" w:rsidR="00B77852" w:rsidRDefault="74DE632B" w:rsidP="339199E3">
      <w:pPr>
        <w:pStyle w:val="Tiret1"/>
        <w:rPr>
          <w:rStyle w:val="FootnoteReference"/>
        </w:rPr>
      </w:pPr>
      <w:r>
        <w:t>Decision of 19 December 2011 concerning 4-(1,1,3,3-tetramethylbutyl)phenol; 4-tert-octylphenol;</w:t>
      </w:r>
    </w:p>
    <w:p w14:paraId="79E05C15" w14:textId="5048156B" w:rsidR="00B77852" w:rsidRDefault="74DE632B" w:rsidP="339199E3">
      <w:pPr>
        <w:pStyle w:val="Tiret1"/>
        <w:rPr>
          <w:rStyle w:val="FootnoteReference"/>
        </w:rPr>
      </w:pPr>
      <w:r>
        <w:t>Decision of 18 December 2012 concerning bis(pentabromophenyl) ether; decabromodiphenyl ether [decaBDE];</w:t>
      </w:r>
    </w:p>
    <w:p w14:paraId="54465ACA" w14:textId="6D10A5EA" w:rsidR="00B77852" w:rsidRDefault="74DE632B" w:rsidP="339199E3">
      <w:pPr>
        <w:pStyle w:val="Tiret1"/>
        <w:rPr>
          <w:rStyle w:val="FootnoteReference"/>
        </w:rPr>
      </w:pPr>
      <w:r>
        <w:t>Decision of 18 December 2012 concerning 4-nonylphenol, branched and linear, ethoxylated, including its individual isomers and any combinations thereof;</w:t>
      </w:r>
    </w:p>
    <w:p w14:paraId="5BF0C930" w14:textId="73506C71" w:rsidR="00B77852" w:rsidRDefault="74DE632B" w:rsidP="339199E3">
      <w:pPr>
        <w:pStyle w:val="Tiret1"/>
        <w:rPr>
          <w:rStyle w:val="FootnoteReference"/>
        </w:rPr>
      </w:pPr>
      <w:r>
        <w:t>Decision of 18 December 2012 concerning 4-(1,1,3,3-tetramethylbutyl)phenol, ethoxylated;</w:t>
      </w:r>
    </w:p>
    <w:p w14:paraId="13AE7781" w14:textId="2FB8AFD7" w:rsidR="00B77852" w:rsidRDefault="7630A56A" w:rsidP="339199E3">
      <w:pPr>
        <w:pStyle w:val="Tiret1"/>
        <w:rPr>
          <w:rStyle w:val="FootnoteReference"/>
        </w:rPr>
      </w:pPr>
      <w:r>
        <w:t>Decision of 18 December 2012 concerning tricosafluorododecanoic acid;</w:t>
      </w:r>
    </w:p>
    <w:p w14:paraId="46FD3AD3" w14:textId="5A88E15B" w:rsidR="00B77852" w:rsidRDefault="7630A56A" w:rsidP="339199E3">
      <w:pPr>
        <w:pStyle w:val="Tiret1"/>
        <w:rPr>
          <w:rStyle w:val="FootnoteReference"/>
        </w:rPr>
      </w:pPr>
      <w:r>
        <w:t>Decision of 18 December 2012 concerning heptacosafluorotetradecanoic acid;</w:t>
      </w:r>
    </w:p>
    <w:p w14:paraId="7D04FB9B" w14:textId="7857616E" w:rsidR="00B77852" w:rsidRDefault="7630A56A" w:rsidP="339199E3">
      <w:pPr>
        <w:pStyle w:val="Tiret1"/>
        <w:rPr>
          <w:rStyle w:val="FootnoteReference"/>
        </w:rPr>
      </w:pPr>
      <w:r>
        <w:t>Decision of 18 December 2012 concerning henicosafluoroundecanoic acid;</w:t>
      </w:r>
    </w:p>
    <w:p w14:paraId="0075E67B" w14:textId="5B112639" w:rsidR="00B77852" w:rsidRDefault="3BB81EB7" w:rsidP="339199E3">
      <w:pPr>
        <w:pStyle w:val="Tiret1"/>
        <w:rPr>
          <w:rStyle w:val="FootnoteReference"/>
        </w:rPr>
      </w:pPr>
      <w:r>
        <w:t>Decision of 18 December 2012 concerning pentacosafluorotridecanoic acid;</w:t>
      </w:r>
    </w:p>
    <w:p w14:paraId="5D29217F" w14:textId="01457E21" w:rsidR="00B77852" w:rsidRDefault="4FB4E5AC" w:rsidP="339199E3">
      <w:pPr>
        <w:pStyle w:val="Tiret1"/>
        <w:rPr>
          <w:rStyle w:val="FootnoteReference"/>
        </w:rPr>
      </w:pPr>
      <w:r>
        <w:t>Decision of 18 December 2012 concerning 4-nonylphenol, branched and linear;</w:t>
      </w:r>
    </w:p>
    <w:p w14:paraId="2B8A2886" w14:textId="08D73576" w:rsidR="00B77852" w:rsidRDefault="26E42BE4" w:rsidP="339199E3">
      <w:pPr>
        <w:pStyle w:val="Tiret1"/>
        <w:rPr>
          <w:rStyle w:val="FootnoteReference"/>
        </w:rPr>
      </w:pPr>
      <w:r>
        <w:t>Decision of 17 June 2013 concerning perfluorooctanoic acid [PFOA];</w:t>
      </w:r>
    </w:p>
    <w:p w14:paraId="764FD519" w14:textId="7D06F11A" w:rsidR="00B77852" w:rsidRDefault="2219B075" w:rsidP="339199E3">
      <w:pPr>
        <w:pStyle w:val="Tiret1"/>
        <w:rPr>
          <w:rStyle w:val="FootnoteReference"/>
        </w:rPr>
      </w:pPr>
      <w:r>
        <w:t>Decision of 17 June 2013 concerning ammonium pentadecafluorooctanoate [APFO];</w:t>
      </w:r>
    </w:p>
    <w:p w14:paraId="29BF003F" w14:textId="28EAF495" w:rsidR="00B77852" w:rsidRDefault="448A7487" w:rsidP="339199E3">
      <w:pPr>
        <w:pStyle w:val="Tiret1"/>
        <w:rPr>
          <w:rStyle w:val="FootnoteReference"/>
        </w:rPr>
      </w:pPr>
      <w:r>
        <w:t>Decision of 17 June 2013 concerning nonylphenol, branched and linear, ethoxylated;</w:t>
      </w:r>
    </w:p>
    <w:p w14:paraId="30A3DDA4" w14:textId="6EDBF3DC" w:rsidR="00B77852" w:rsidRDefault="2DEAB41E" w:rsidP="339199E3">
      <w:pPr>
        <w:pStyle w:val="Tiret1"/>
        <w:rPr>
          <w:rStyle w:val="FootnoteReference"/>
        </w:rPr>
      </w:pPr>
      <w:r>
        <w:t>Decision of 12 December 2014 concerning 2-(2H-benzotriazol-2-yl)-4,6-di-tert-pentylphenol [UV-328];</w:t>
      </w:r>
    </w:p>
    <w:p w14:paraId="4184B6DA" w14:textId="3AF8CABE" w:rsidR="00B77852" w:rsidRDefault="2DEAB41E" w:rsidP="339199E3">
      <w:pPr>
        <w:pStyle w:val="Tiret1"/>
        <w:rPr>
          <w:rStyle w:val="FootnoteReference"/>
        </w:rPr>
      </w:pPr>
      <w:r>
        <w:t>Decision of 12 December 2014 concerning 2-benzotriazol-2-yl-4,6-di-tert-butylphenol [UV-320];</w:t>
      </w:r>
    </w:p>
    <w:p w14:paraId="21D6D01F" w14:textId="23FB5C7C" w:rsidR="00B77852" w:rsidRDefault="15211045" w:rsidP="339199E3">
      <w:pPr>
        <w:pStyle w:val="Tiret1"/>
        <w:rPr>
          <w:rStyle w:val="FootnoteReference"/>
        </w:rPr>
      </w:pPr>
      <w:r>
        <w:t>Decision of 12 December 2014 concerning bis(2-ethylhexyl) phthalate [DEHP];</w:t>
      </w:r>
    </w:p>
    <w:p w14:paraId="225CA69B" w14:textId="118227A9" w:rsidR="00B77852" w:rsidRDefault="08852A4D" w:rsidP="339199E3">
      <w:pPr>
        <w:pStyle w:val="Tiret1"/>
        <w:rPr>
          <w:rStyle w:val="FootnoteReference"/>
        </w:rPr>
      </w:pPr>
      <w:r>
        <w:t>Decision of 12 June 2015 concerning 5-sec-butyl-2-(2,4-dimethylcyclohex-3-en-1-yl)-5-methyl-1,3-dioxane,5-sec-butyl-2-(4,6-dimethylcyclohex-3-en-1-yl)-5-methyl-1,3-dioxane and any of the individual isomers and/or combinations thereof;</w:t>
      </w:r>
    </w:p>
    <w:p w14:paraId="10C1B7E6" w14:textId="63D60869" w:rsidR="00B77852" w:rsidRDefault="08852A4D" w:rsidP="339199E3">
      <w:pPr>
        <w:pStyle w:val="Tiret1"/>
        <w:rPr>
          <w:rStyle w:val="FootnoteReference"/>
        </w:rPr>
      </w:pPr>
      <w:r>
        <w:t>Decision of 15 December 2015 concerning 2,4-di-tert-butyl-6-(5-chlorobenzotriazol-2-yl)phenol [UV-327];</w:t>
      </w:r>
    </w:p>
    <w:p w14:paraId="07944416" w14:textId="22763EC1" w:rsidR="00B77852" w:rsidRDefault="08852A4D" w:rsidP="339199E3">
      <w:pPr>
        <w:pStyle w:val="Tiret1"/>
        <w:rPr>
          <w:rStyle w:val="FootnoteReference"/>
        </w:rPr>
      </w:pPr>
      <w:r>
        <w:t>Decision of 15 December 2015 concerning 2-(2H-benzotriazol-2-yl)-4-(tert-butyl)-6-(sec-butyl)phenol [UV-350];</w:t>
      </w:r>
    </w:p>
    <w:p w14:paraId="1E170859" w14:textId="6B1B4265" w:rsidR="00B77852" w:rsidRDefault="018A2F80" w:rsidP="339199E3">
      <w:pPr>
        <w:pStyle w:val="Tiret1"/>
        <w:rPr>
          <w:rStyle w:val="FootnoteReference"/>
        </w:rPr>
      </w:pPr>
      <w:r>
        <w:t>Decision of 15 December 2015 concerning perfluorononan-1-oic acid and its sodium and ammonium salts;</w:t>
      </w:r>
    </w:p>
    <w:p w14:paraId="31A4D619" w14:textId="68E5D1CD" w:rsidR="00B77852" w:rsidRDefault="6F0EF78A" w:rsidP="339199E3">
      <w:pPr>
        <w:pStyle w:val="Tiret1"/>
        <w:rPr>
          <w:rStyle w:val="FootnoteReference"/>
        </w:rPr>
      </w:pPr>
      <w:r>
        <w:t>Decision of 20 June 2016 concerning benzo[def]chrysene; benzo[a]pyrene;</w:t>
      </w:r>
    </w:p>
    <w:p w14:paraId="260D89F6" w14:textId="3931CE6F" w:rsidR="00B77852" w:rsidRDefault="6F0EF78A" w:rsidP="339199E3">
      <w:pPr>
        <w:pStyle w:val="Tiret1"/>
        <w:rPr>
          <w:rStyle w:val="FootnoteReference"/>
        </w:rPr>
      </w:pPr>
      <w:r>
        <w:t>Decision of 4 January 2017 concerning p-(1,1-dimethylpropyl)phenol;</w:t>
      </w:r>
    </w:p>
    <w:p w14:paraId="230648E2" w14:textId="5E5E13ED" w:rsidR="00B77852" w:rsidRDefault="6F0EF78A" w:rsidP="339199E3">
      <w:pPr>
        <w:pStyle w:val="Tiret1"/>
        <w:rPr>
          <w:rStyle w:val="FootnoteReference"/>
        </w:rPr>
      </w:pPr>
      <w:r>
        <w:lastRenderedPageBreak/>
        <w:t>Decision of 4 January 2017 concerning 4-heptylphenol, branched and linear, and any of the individual isomers and/or combinations thereof;</w:t>
      </w:r>
    </w:p>
    <w:p w14:paraId="55B185EB" w14:textId="32D986CC" w:rsidR="00B77852" w:rsidRDefault="23F53902" w:rsidP="339199E3">
      <w:pPr>
        <w:pStyle w:val="Tiret1"/>
        <w:rPr>
          <w:rStyle w:val="FootnoteReference"/>
        </w:rPr>
      </w:pPr>
      <w:r>
        <w:t>Decision of 4 January 2017 concerning nonadecafluorodecanoic acid and its sodium and ammonium salts;</w:t>
      </w:r>
    </w:p>
    <w:p w14:paraId="43B8F81A" w14:textId="0A2995F2" w:rsidR="00B77852" w:rsidRDefault="510ED8AE" w:rsidP="339199E3">
      <w:pPr>
        <w:pStyle w:val="Tiret1"/>
        <w:rPr>
          <w:rStyle w:val="FootnoteReference"/>
        </w:rPr>
      </w:pPr>
      <w:r>
        <w:t>Decision of 4 January 2017 concerning 4,4'-isopropylidenediphenol [bisphenol A];</w:t>
      </w:r>
    </w:p>
    <w:p w14:paraId="00E65BA4" w14:textId="14504B91" w:rsidR="00B77852" w:rsidRDefault="3BD4E15A" w:rsidP="339199E3">
      <w:pPr>
        <w:pStyle w:val="Tiret1"/>
        <w:rPr>
          <w:rStyle w:val="FootnoteReference"/>
        </w:rPr>
      </w:pPr>
      <w:r>
        <w:t>Decision of 6 July 2017 concerning perfluorohexane-1-sulphonic acid [PFHxS] and its salts;</w:t>
      </w:r>
    </w:p>
    <w:p w14:paraId="5819C26E" w14:textId="702C1F08" w:rsidR="00B77852" w:rsidRDefault="56AAB751" w:rsidP="339199E3">
      <w:pPr>
        <w:pStyle w:val="Tiret1"/>
        <w:rPr>
          <w:rStyle w:val="FootnoteReference"/>
        </w:rPr>
      </w:pPr>
      <w:r>
        <w:t>Decision of 6 July 2017 concerning dibutyl phthalate [DBP];</w:t>
      </w:r>
    </w:p>
    <w:p w14:paraId="65FDDC86" w14:textId="06B5EF96" w:rsidR="00B77852" w:rsidRDefault="56AAB751" w:rsidP="339199E3">
      <w:pPr>
        <w:pStyle w:val="Tiret1"/>
        <w:rPr>
          <w:rStyle w:val="FootnoteReference"/>
        </w:rPr>
      </w:pPr>
      <w:r>
        <w:t>Decision of 6 July 2017 concerning benzyl butyl phthalate [BBP];</w:t>
      </w:r>
    </w:p>
    <w:p w14:paraId="2484E867" w14:textId="7276357D" w:rsidR="00B77852" w:rsidRDefault="56AAB751" w:rsidP="339199E3">
      <w:pPr>
        <w:pStyle w:val="Tiret1"/>
        <w:rPr>
          <w:rStyle w:val="FootnoteReference"/>
        </w:rPr>
      </w:pPr>
      <w:r>
        <w:t xml:space="preserve">Decision of </w:t>
      </w:r>
      <w:r w:rsidR="0070155F">
        <w:t>3 January</w:t>
      </w:r>
      <w:r>
        <w:t xml:space="preserve"> 2018 concerning reaction products of 1,3,4-thiadiazolidine-2,5-dithione, formaldehyde and 4-heptylphenol, branched and linear (RP-HP);</w:t>
      </w:r>
    </w:p>
    <w:p w14:paraId="56F040C5" w14:textId="18F29903" w:rsidR="00B77852" w:rsidRDefault="56AAB751" w:rsidP="339199E3">
      <w:pPr>
        <w:pStyle w:val="Tiret1"/>
        <w:rPr>
          <w:rStyle w:val="FootnoteReference"/>
        </w:rPr>
      </w:pPr>
      <w:r>
        <w:t>Decision of 3 January 2018 concerning 1,6,7,8,9,14,15,16,17,17,18,18-dodecachloropentacyclo[12.2.1.1⁶,⁹.0²,¹³.0⁵,¹⁰]octadeca-7,15-diene, including its anti- and syn-isomers and any combinations thereof;</w:t>
      </w:r>
    </w:p>
    <w:p w14:paraId="7E7FA2E4" w14:textId="5D5B9346" w:rsidR="00B77852" w:rsidRDefault="627CAFC7" w:rsidP="339199E3">
      <w:pPr>
        <w:pStyle w:val="Tiret1"/>
        <w:rPr>
          <w:rStyle w:val="FootnoteReference"/>
        </w:rPr>
      </w:pPr>
      <w:r>
        <w:t>Decision of 3 January 2018 concerning benz[a]anthracene;</w:t>
      </w:r>
    </w:p>
    <w:p w14:paraId="300A6840" w14:textId="0DAC9FB9" w:rsidR="00B77852" w:rsidRDefault="2D9F31F6" w:rsidP="339199E3">
      <w:pPr>
        <w:pStyle w:val="Tiret1"/>
        <w:rPr>
          <w:rStyle w:val="FootnoteReference"/>
        </w:rPr>
      </w:pPr>
      <w:r>
        <w:t>Decision of 3 January 2018 concerning chrysene;</w:t>
      </w:r>
    </w:p>
    <w:p w14:paraId="0AFA34AF" w14:textId="3D9F9B0D" w:rsidR="00B77852" w:rsidRDefault="2D9F31F6" w:rsidP="339199E3">
      <w:pPr>
        <w:pStyle w:val="Tiret1"/>
        <w:rPr>
          <w:rStyle w:val="FootnoteReference"/>
        </w:rPr>
      </w:pPr>
      <w:r>
        <w:t>Decision of 20  June 2018 concerning dodecamethylcyclohexasiloxane [D6];</w:t>
      </w:r>
    </w:p>
    <w:p w14:paraId="757224D9" w14:textId="75BD9FD3" w:rsidR="00B77852" w:rsidRDefault="2D9F31F6" w:rsidP="339199E3">
      <w:pPr>
        <w:pStyle w:val="Tiret1"/>
        <w:rPr>
          <w:rStyle w:val="FootnoteReference"/>
          <w:rFonts w:eastAsia="Times New Roman"/>
          <w:sz w:val="22"/>
        </w:rPr>
      </w:pPr>
      <w:r w:rsidRPr="339199E3">
        <w:rPr>
          <w:rFonts w:eastAsia="Times New Roman"/>
          <w:sz w:val="22"/>
        </w:rPr>
        <w:t>Decision of 20  June 2018 concerning decamethylcyclopentasiloxane [D5];</w:t>
      </w:r>
    </w:p>
    <w:p w14:paraId="373D7B96" w14:textId="5406848E" w:rsidR="00B77852" w:rsidRDefault="2D9F31F6" w:rsidP="339199E3">
      <w:pPr>
        <w:pStyle w:val="Tiret1"/>
        <w:rPr>
          <w:rStyle w:val="FootnoteReference"/>
        </w:rPr>
      </w:pPr>
      <w:r>
        <w:t>Decision of 20  June 2018 concerning benzo[ghi]perylene;</w:t>
      </w:r>
    </w:p>
    <w:p w14:paraId="51EC47C9" w14:textId="6D1777C9" w:rsidR="00B77852" w:rsidRDefault="2D9F31F6" w:rsidP="339199E3">
      <w:pPr>
        <w:pStyle w:val="Tiret1"/>
        <w:rPr>
          <w:rStyle w:val="FootnoteReference"/>
        </w:rPr>
      </w:pPr>
      <w:r>
        <w:t>Decision of 20 June 2018 concerning terphenyl, hydrogenated;</w:t>
      </w:r>
    </w:p>
    <w:p w14:paraId="48EC6E47" w14:textId="7CA8B946" w:rsidR="00B77852" w:rsidRDefault="1C8147DA" w:rsidP="339199E3">
      <w:pPr>
        <w:pStyle w:val="Tiret1"/>
        <w:rPr>
          <w:rStyle w:val="FootnoteReference"/>
        </w:rPr>
      </w:pPr>
      <w:r>
        <w:t>Decision of 20  June 2018 concerning dicyclohexyl phthalate [DCHP];</w:t>
      </w:r>
    </w:p>
    <w:p w14:paraId="40C733DD" w14:textId="5FDEF21F" w:rsidR="00B77852" w:rsidRDefault="3444FCF1" w:rsidP="339199E3">
      <w:pPr>
        <w:pStyle w:val="Tiret1"/>
        <w:rPr>
          <w:rStyle w:val="FootnoteReference"/>
        </w:rPr>
      </w:pPr>
      <w:r>
        <w:t>Decision of 20 June 2018 concerning octamethylcyclotetrasiloxane [D4];</w:t>
      </w:r>
    </w:p>
    <w:p w14:paraId="777CBEB6" w14:textId="14FE9C22" w:rsidR="00B77852" w:rsidRDefault="3444FCF1" w:rsidP="339199E3">
      <w:pPr>
        <w:pStyle w:val="Tiret1"/>
        <w:rPr>
          <w:rStyle w:val="FootnoteReference"/>
        </w:rPr>
      </w:pPr>
      <w:r>
        <w:t>Decision of 19 December 2018 concerning phenanthrene;</w:t>
      </w:r>
    </w:p>
    <w:p w14:paraId="60115CE9" w14:textId="57711B93" w:rsidR="00B77852" w:rsidRDefault="3444FCF1" w:rsidP="339199E3">
      <w:pPr>
        <w:pStyle w:val="Tiret1"/>
        <w:rPr>
          <w:rStyle w:val="FootnoteReference"/>
        </w:rPr>
      </w:pPr>
      <w:r>
        <w:t>Decision of 19 December 2018 concerning pyrene;</w:t>
      </w:r>
    </w:p>
    <w:p w14:paraId="158DFBFD" w14:textId="076E907A" w:rsidR="00B77852" w:rsidRDefault="3444FCF1" w:rsidP="339199E3">
      <w:pPr>
        <w:pStyle w:val="Tiret1"/>
        <w:rPr>
          <w:rStyle w:val="FootnoteReference"/>
        </w:rPr>
      </w:pPr>
      <w:r>
        <w:t>Decision of 19 December 2018  concerning fluoranthene;</w:t>
      </w:r>
    </w:p>
    <w:p w14:paraId="3AF6CD5F" w14:textId="4C96A717" w:rsidR="00B77852" w:rsidRDefault="3444FCF1" w:rsidP="339199E3">
      <w:pPr>
        <w:pStyle w:val="Tiret1"/>
        <w:rPr>
          <w:rStyle w:val="FootnoteReference"/>
        </w:rPr>
      </w:pPr>
      <w:r>
        <w:t>Decision of 19 December 2018  concerning 1,7,7-trimethyl-3-(phenylmethylene)bicyclo[2.2.1]heptan-2-one; 3-benzylidene camphor;</w:t>
      </w:r>
    </w:p>
    <w:p w14:paraId="75F997D3" w14:textId="36480432" w:rsidR="00B77852" w:rsidRDefault="42046B43" w:rsidP="339199E3">
      <w:pPr>
        <w:pStyle w:val="Tiret1"/>
        <w:rPr>
          <w:rStyle w:val="FootnoteReference"/>
        </w:rPr>
      </w:pPr>
      <w:r>
        <w:t>Decision of 19 December 2018  concerning benzo[k]fluoranthene;</w:t>
      </w:r>
    </w:p>
    <w:p w14:paraId="6E3E1308" w14:textId="40FD2788" w:rsidR="00B77852" w:rsidRDefault="4A50BF46" w:rsidP="339199E3">
      <w:pPr>
        <w:pStyle w:val="Tiret1"/>
        <w:rPr>
          <w:rStyle w:val="FootnoteReference"/>
        </w:rPr>
      </w:pPr>
      <w:r>
        <w:t>Decision of 4 July 2019 concerning 4-tert-butylphenol;</w:t>
      </w:r>
    </w:p>
    <w:p w14:paraId="54B72B63" w14:textId="492DA87F" w:rsidR="00B77852" w:rsidRDefault="46EE11AF" w:rsidP="339199E3">
      <w:pPr>
        <w:pStyle w:val="Tiret1"/>
        <w:rPr>
          <w:vertAlign w:val="superscript"/>
        </w:rPr>
      </w:pPr>
      <w:r>
        <w:t>Decision of 4 July 2019 concerning tris(4-nonylphenyl, branched and linear) phosphite [TNPP].</w:t>
      </w:r>
    </w:p>
    <w:p w14:paraId="28436C8A" w14:textId="3ED1632C" w:rsidR="00B77852" w:rsidRDefault="46EE11AF" w:rsidP="3F3A6D13">
      <w:pPr>
        <w:pStyle w:val="Tiret1"/>
        <w:rPr>
          <w:rStyle w:val="FootnoteReference"/>
        </w:rPr>
      </w:pPr>
      <w:r>
        <w:t>Decision of 18 June 2020 concerning butyl 4-hydroxybenzoate;</w:t>
      </w:r>
    </w:p>
    <w:p w14:paraId="23441616" w14:textId="6E672511" w:rsidR="00B77852" w:rsidRDefault="46EE11AF" w:rsidP="339199E3">
      <w:pPr>
        <w:pStyle w:val="Tiret1"/>
        <w:rPr>
          <w:rStyle w:val="FootnoteReference"/>
        </w:rPr>
      </w:pPr>
      <w:r>
        <w:t xml:space="preserve">Decision of 23 June  2021 concerning medium-chain chlorinated paraffins (MCCP); </w:t>
      </w:r>
    </w:p>
    <w:p w14:paraId="5DF5E260" w14:textId="1E1BC68C" w:rsidR="00B77852" w:rsidRDefault="46EE11AF" w:rsidP="339199E3">
      <w:pPr>
        <w:pStyle w:val="Tiret1"/>
        <w:rPr>
          <w:rStyle w:val="FootnoteReference"/>
        </w:rPr>
      </w:pPr>
      <w:r>
        <w:t>Decision of 23 June  2021 concerning 4,4'-(1-methylpropylidene)bisphenol [bisphenol B];</w:t>
      </w:r>
    </w:p>
    <w:p w14:paraId="5118C310" w14:textId="527195F6" w:rsidR="00B77852" w:rsidRDefault="46EE11AF" w:rsidP="339199E3">
      <w:pPr>
        <w:pStyle w:val="Tiret1"/>
        <w:rPr>
          <w:rStyle w:val="FootnoteReference"/>
        </w:rPr>
      </w:pPr>
      <w:r>
        <w:lastRenderedPageBreak/>
        <w:t>Decision of 23 June 2021 concerning phenol, alkylation products (mainly in para position) with C12-rich branched alkyl chains from oligomerisation, covering any individual isomers and/ or combinations thereof (PDDP);</w:t>
      </w:r>
    </w:p>
    <w:p w14:paraId="11AEA218" w14:textId="14346388" w:rsidR="00B77852" w:rsidRDefault="46EE11AF" w:rsidP="339199E3">
      <w:pPr>
        <w:pStyle w:val="Tiret1"/>
        <w:rPr>
          <w:rStyle w:val="FootnoteReference"/>
        </w:rPr>
      </w:pPr>
      <w:r>
        <w:t>Decision of 16 December 2021 concerning (±)-1,7,7-trimethyl-3-[(4- methylphenyl)methylene]bicyclo[2.2.1]heptan-2-one covering any of the individual isomers and/or combinations thereof (4-MBC);</w:t>
      </w:r>
    </w:p>
    <w:p w14:paraId="3056236B" w14:textId="5A5246BB" w:rsidR="00B77852" w:rsidRDefault="6740BC14" w:rsidP="339199E3">
      <w:pPr>
        <w:pStyle w:val="Tiret1"/>
        <w:rPr>
          <w:rStyle w:val="FootnoteReference"/>
        </w:rPr>
      </w:pPr>
      <w:r>
        <w:t>Decision of 16 December 2021 concerning S-(tricyclo[5.2.1.0²,⁶]deca-3-en-8(or 9)-yl) O-(isopropyl or isobutyl or 2-ethylhexyl) O-(isopropyl or isobutyl or 2-ethylhexyl) phosphorodithioate;</w:t>
      </w:r>
    </w:p>
    <w:p w14:paraId="0E289292" w14:textId="6454FB1A" w:rsidR="00B77852" w:rsidRDefault="6740BC14" w:rsidP="339199E3">
      <w:pPr>
        <w:pStyle w:val="Tiret1"/>
        <w:rPr>
          <w:rStyle w:val="FootnoteReference"/>
        </w:rPr>
      </w:pPr>
      <w:r>
        <w:t>Decision of 16 December 2022 concerning 1,1'-[ethane-1,2-diylbisoxy]bis[2,4,6-tribromobenzene];</w:t>
      </w:r>
    </w:p>
    <w:p w14:paraId="67283ACE" w14:textId="535A8D46" w:rsidR="00B77852" w:rsidRDefault="6740BC14" w:rsidP="339199E3">
      <w:pPr>
        <w:pStyle w:val="Tiret1"/>
        <w:rPr>
          <w:rStyle w:val="FootnoteReference"/>
        </w:rPr>
      </w:pPr>
      <w:r>
        <w:t>Decision of 16 December 2022 concerning isobutyl 4-hydroxybenzoate;</w:t>
      </w:r>
    </w:p>
    <w:p w14:paraId="60988FB9" w14:textId="5FE693E2" w:rsidR="00B77852" w:rsidRDefault="0E071114" w:rsidP="339199E3">
      <w:pPr>
        <w:pStyle w:val="Tiret1"/>
        <w:rPr>
          <w:rStyle w:val="FootnoteReference"/>
        </w:rPr>
      </w:pPr>
      <w:r>
        <w:t>Decision of 16 December 2022 concerning bis(2-ethylhexyl) tetrabromophthalate, and any of the individual isomers and/or combinations thereof;</w:t>
      </w:r>
    </w:p>
    <w:p w14:paraId="74C4D7B9" w14:textId="3C7F3230" w:rsidR="00B77852" w:rsidRDefault="0E071114" w:rsidP="339199E3">
      <w:pPr>
        <w:pStyle w:val="Tiret1"/>
        <w:rPr>
          <w:rStyle w:val="FootnoteReference"/>
        </w:rPr>
      </w:pPr>
      <w:r>
        <w:t>Decision of 16 December 2022 concerning perfluoroheptanoic acid and its salts;</w:t>
      </w:r>
    </w:p>
    <w:p w14:paraId="3D0E922F" w14:textId="0FEDC1F8" w:rsidR="00B77852" w:rsidRDefault="3BC33552" w:rsidP="339199E3">
      <w:pPr>
        <w:pStyle w:val="Tiret1"/>
        <w:rPr>
          <w:rStyle w:val="FootnoteReference"/>
        </w:rPr>
      </w:pPr>
      <w:r>
        <w:t>Decision of 16 December 2022 concerning reaction mass of 2,2,3,3,5,5,6,6-octafluoro-4-(1,1,1,2,3,3,3-heptafluoropropan-2-yl)morpholine and 2,2,3,3,5,5,6,6-octafluoro-4-(heptafluoropropyl)morpholine;</w:t>
      </w:r>
    </w:p>
    <w:p w14:paraId="4520E70F" w14:textId="1347720E" w:rsidR="00B77852" w:rsidRDefault="4AA17504" w:rsidP="339199E3">
      <w:pPr>
        <w:pStyle w:val="Tiret1"/>
        <w:rPr>
          <w:rStyle w:val="FootnoteReference"/>
        </w:rPr>
      </w:pPr>
      <w:r>
        <w:t>Decision of 16 December 2022 concerning 4,4’-sulphonyldiphenol [bisphenol S];</w:t>
      </w:r>
    </w:p>
    <w:p w14:paraId="2E0A9B54" w14:textId="0C0E6519" w:rsidR="00B77852" w:rsidRDefault="56324E99" w:rsidP="339199E3">
      <w:pPr>
        <w:pStyle w:val="Tiret1"/>
        <w:rPr>
          <w:rStyle w:val="FootnoteReference"/>
        </w:rPr>
      </w:pPr>
      <w:r>
        <w:t>Decision of 24 May 2023 concerning bis(4-chlorophenyl) sulphone;</w:t>
      </w:r>
    </w:p>
    <w:p w14:paraId="52FDFDB6" w14:textId="36995F01" w:rsidR="00B77852" w:rsidRDefault="56324E99" w:rsidP="339199E3">
      <w:pPr>
        <w:pStyle w:val="Tiret1"/>
        <w:rPr>
          <w:rStyle w:val="FootnoteReference"/>
        </w:rPr>
      </w:pPr>
      <w:r>
        <w:t>Decision of 19 December 2023 concerning Oligomerisation and alkylation reaction products of 2-phenylpropene and phenol;</w:t>
      </w:r>
    </w:p>
    <w:p w14:paraId="5E12FDE3" w14:textId="73E2208C" w:rsidR="00B77852" w:rsidRDefault="56324E99" w:rsidP="339199E3">
      <w:pPr>
        <w:pStyle w:val="Tiret1"/>
        <w:rPr>
          <w:rStyle w:val="FootnoteReference"/>
        </w:rPr>
      </w:pPr>
      <w:r>
        <w:t>Decision of 19 December 2023 concerning 2-(2H-benzotriazol-2-yl)-4-(1,1,3,3-tetramethylbutyl)phenol [UV-329];</w:t>
      </w:r>
    </w:p>
    <w:p w14:paraId="2FFF01CB" w14:textId="6D684130" w:rsidR="00B77852" w:rsidRDefault="56324E99" w:rsidP="339199E3">
      <w:pPr>
        <w:pStyle w:val="Tiret1"/>
        <w:rPr>
          <w:rStyle w:val="FootnoteReference"/>
        </w:rPr>
      </w:pPr>
      <w:r>
        <w:t>Decision of 19 December 2023 concerning bumetrizole; 2-tert-butyl-6-(5-chloro-2H-1,2,3-benzotriazol-2-yl)-4-methylphenol [UV-326];</w:t>
      </w:r>
    </w:p>
    <w:p w14:paraId="6BB4AAE4" w14:textId="5C681645" w:rsidR="00B77852" w:rsidRDefault="34654088" w:rsidP="339199E3">
      <w:pPr>
        <w:pStyle w:val="Tiret1"/>
        <w:rPr>
          <w:rStyle w:val="FootnoteReference"/>
        </w:rPr>
      </w:pPr>
      <w:r>
        <w:t>Decision of 19 December 2023 concerning 2,4,6-tri-tert-butylphenol;</w:t>
      </w:r>
    </w:p>
    <w:p w14:paraId="5C57AF71" w14:textId="02EE50E1" w:rsidR="00B77852" w:rsidRDefault="34654088" w:rsidP="339199E3">
      <w:pPr>
        <w:pStyle w:val="Tiret1"/>
        <w:rPr>
          <w:rStyle w:val="FootnoteReference"/>
        </w:rPr>
      </w:pPr>
      <w:r>
        <w:t>Decision of 10 October  2024 concerning triphenyl phosphate;</w:t>
      </w:r>
    </w:p>
    <w:p w14:paraId="6F407C9A" w14:textId="59B8F05C" w:rsidR="00B77852" w:rsidRDefault="34654088" w:rsidP="339199E3">
      <w:pPr>
        <w:pStyle w:val="Tiret1"/>
        <w:rPr>
          <w:rStyle w:val="FootnoteReference"/>
        </w:rPr>
      </w:pPr>
      <w:r>
        <w:t>Decision of 17 December 2024  concerning octamethyltrisiloxane;</w:t>
      </w:r>
    </w:p>
    <w:p w14:paraId="0F010A86" w14:textId="1353A3E7" w:rsidR="00B77852" w:rsidRDefault="34654088" w:rsidP="339199E3">
      <w:pPr>
        <w:pStyle w:val="Tiret1"/>
        <w:rPr>
          <w:rStyle w:val="FootnoteReference"/>
        </w:rPr>
      </w:pPr>
      <w:r>
        <w:t>Decision of 17 December 2024 concerning O,O,O-triphenyl phosphorothioate;</w:t>
      </w:r>
    </w:p>
    <w:p w14:paraId="38EC8FEA" w14:textId="09DE2F11" w:rsidR="00B77852" w:rsidRDefault="34654088" w:rsidP="339199E3">
      <w:pPr>
        <w:pStyle w:val="Tiret1"/>
        <w:rPr>
          <w:rStyle w:val="FootnoteReference"/>
        </w:rPr>
      </w:pPr>
      <w:r>
        <w:t>Decision of 17 December 2024  concerning perfluamine; 1,1,2,2,3,3,3-heptafluoro-N,N-bis(heptafluoropropyl)propan-1-amine;</w:t>
      </w:r>
    </w:p>
    <w:p w14:paraId="3151BB95" w14:textId="2F51FBEE" w:rsidR="00B77852" w:rsidRPr="0001534D" w:rsidRDefault="50126AA8" w:rsidP="339199E3">
      <w:pPr>
        <w:pStyle w:val="Tiret1"/>
        <w:rPr>
          <w:rStyle w:val="FootnoteReference"/>
        </w:rPr>
      </w:pPr>
      <w:r>
        <w:t xml:space="preserve">Decision of 17 December 2024 concerning reaction mass of </w:t>
      </w:r>
      <w:r w:rsidRPr="0001534D">
        <w:t>triphenylthiophosphate</w:t>
      </w:r>
      <w:r>
        <w:t xml:space="preserve"> and tertiary butylated phenyl derivatives;</w:t>
      </w:r>
    </w:p>
    <w:p w14:paraId="431426BF" w14:textId="60BE3544" w:rsidR="00B77852" w:rsidRPr="00A02785" w:rsidRDefault="50126AA8" w:rsidP="339199E3">
      <w:pPr>
        <w:pStyle w:val="Tiret1"/>
        <w:rPr>
          <w:rStyle w:val="FootnoteReference"/>
        </w:rPr>
      </w:pPr>
      <w:r w:rsidRPr="00A02785">
        <w:t xml:space="preserve">Decision of </w:t>
      </w:r>
      <w:r w:rsidR="0099320A" w:rsidRPr="00A02785">
        <w:t>13 June</w:t>
      </w:r>
      <w:r w:rsidRPr="00A02785">
        <w:t xml:space="preserve"> 2025 concerning </w:t>
      </w:r>
      <w:r>
        <w:t>decamethyltetrasiloxane [L4];</w:t>
      </w:r>
    </w:p>
    <w:p w14:paraId="6C8E20BB" w14:textId="406FDDCE" w:rsidR="00B77852" w:rsidRPr="00A02785" w:rsidRDefault="50126AA8" w:rsidP="339199E3">
      <w:pPr>
        <w:pStyle w:val="Tiret1"/>
        <w:rPr>
          <w:rStyle w:val="FootnoteReference"/>
        </w:rPr>
      </w:pPr>
      <w:r w:rsidRPr="00A02785">
        <w:t>Decision of 13 June 2025 concerning 1,1,1,3,5,5,5-heptamethyl-3-[(trimethylsilyl)oxy]</w:t>
      </w:r>
      <w:r>
        <w:t>trisiloxane [M3T];</w:t>
      </w:r>
    </w:p>
    <w:p w14:paraId="31D98011" w14:textId="4E0F60B0" w:rsidR="00B77852" w:rsidRPr="0001534D" w:rsidRDefault="50126AA8" w:rsidP="339199E3">
      <w:pPr>
        <w:pStyle w:val="Tiret1"/>
        <w:rPr>
          <w:rStyle w:val="FootnoteReference"/>
        </w:rPr>
      </w:pPr>
      <w:r w:rsidRPr="00A02785">
        <w:lastRenderedPageBreak/>
        <w:t xml:space="preserve">Decision of 8 </w:t>
      </w:r>
      <w:r w:rsidR="0099320A" w:rsidRPr="00A02785">
        <w:t>October 2025</w:t>
      </w:r>
      <w:r w:rsidRPr="00A02785">
        <w:t xml:space="preserve"> concerning 1,1'-(ethane-1,2-</w:t>
      </w:r>
      <w:r>
        <w:t>diyl)bis[pentabromobenzene] [DBDPE];</w:t>
      </w:r>
    </w:p>
    <w:p w14:paraId="3E1A343B" w14:textId="584B373F" w:rsidR="00C03208" w:rsidRDefault="00D60E6E" w:rsidP="0001534D">
      <w:pPr>
        <w:pStyle w:val="Considrant"/>
        <w:rPr>
          <w:szCs w:val="24"/>
        </w:rPr>
      </w:pPr>
      <w:r w:rsidRPr="002E7979">
        <w:rPr>
          <w:szCs w:val="24"/>
        </w:rPr>
        <w:t>T</w:t>
      </w:r>
      <w:r w:rsidR="00C03113" w:rsidRPr="002E7979">
        <w:rPr>
          <w:szCs w:val="24"/>
        </w:rPr>
        <w:t>he</w:t>
      </w:r>
      <w:r w:rsidR="00696F35" w:rsidRPr="002E7979">
        <w:rPr>
          <w:szCs w:val="24"/>
        </w:rPr>
        <w:t xml:space="preserve"> substances </w:t>
      </w:r>
      <w:r w:rsidR="003353B2" w:rsidRPr="002E7979">
        <w:rPr>
          <w:szCs w:val="24"/>
        </w:rPr>
        <w:t>listed in the</w:t>
      </w:r>
      <w:r w:rsidR="006B54D1" w:rsidRPr="002E7979">
        <w:rPr>
          <w:szCs w:val="24"/>
        </w:rPr>
        <w:t xml:space="preserve"> above</w:t>
      </w:r>
      <w:r w:rsidR="007F1D61" w:rsidRPr="002E7979">
        <w:rPr>
          <w:szCs w:val="24"/>
        </w:rPr>
        <w:t>-</w:t>
      </w:r>
      <w:r w:rsidR="006B54D1" w:rsidRPr="002E7979">
        <w:rPr>
          <w:szCs w:val="24"/>
        </w:rPr>
        <w:t>mentioned</w:t>
      </w:r>
      <w:r w:rsidR="003353B2" w:rsidRPr="002E7979">
        <w:rPr>
          <w:szCs w:val="24"/>
        </w:rPr>
        <w:t xml:space="preserve"> </w:t>
      </w:r>
      <w:r w:rsidR="000364B7" w:rsidRPr="002E7979">
        <w:rPr>
          <w:szCs w:val="24"/>
        </w:rPr>
        <w:t xml:space="preserve">decisions of </w:t>
      </w:r>
      <w:r w:rsidR="000A2166" w:rsidRPr="002E7979">
        <w:rPr>
          <w:szCs w:val="24"/>
        </w:rPr>
        <w:t>the Agency</w:t>
      </w:r>
      <w:r w:rsidR="0000137E" w:rsidRPr="002E7979">
        <w:rPr>
          <w:szCs w:val="24"/>
        </w:rPr>
        <w:t xml:space="preserve"> have been included in the candidate list </w:t>
      </w:r>
      <w:r w:rsidR="00E71A4C" w:rsidRPr="002E7979">
        <w:rPr>
          <w:szCs w:val="24"/>
        </w:rPr>
        <w:t>referred to in Article 59(1) of Regulation (EC) No 1907/2006</w:t>
      </w:r>
      <w:r w:rsidR="0029107D" w:rsidRPr="002E7979">
        <w:rPr>
          <w:szCs w:val="24"/>
        </w:rPr>
        <w:t xml:space="preserve"> before 11 June </w:t>
      </w:r>
      <w:r w:rsidR="002E7979">
        <w:rPr>
          <w:szCs w:val="24"/>
        </w:rPr>
        <w:t>2026</w:t>
      </w:r>
      <w:r w:rsidRPr="002E7979">
        <w:rPr>
          <w:szCs w:val="24"/>
        </w:rPr>
        <w:t xml:space="preserve"> </w:t>
      </w:r>
      <w:r w:rsidR="003545F4" w:rsidRPr="002E7979">
        <w:rPr>
          <w:szCs w:val="24"/>
        </w:rPr>
        <w:t xml:space="preserve">and </w:t>
      </w:r>
      <w:r w:rsidR="00FA6B2A" w:rsidRPr="002E7979">
        <w:rPr>
          <w:szCs w:val="24"/>
        </w:rPr>
        <w:t xml:space="preserve">a dossier as provided for in Annex XV to </w:t>
      </w:r>
      <w:r w:rsidR="00EA5C11" w:rsidRPr="002E7979">
        <w:rPr>
          <w:szCs w:val="24"/>
        </w:rPr>
        <w:t xml:space="preserve">Regulation (EC) No 1907/2006 </w:t>
      </w:r>
      <w:r w:rsidR="00FA6B2A" w:rsidRPr="002E7979">
        <w:rPr>
          <w:szCs w:val="24"/>
        </w:rPr>
        <w:t>was under assessment by 11 June 2025</w:t>
      </w:r>
      <w:r w:rsidR="00691776" w:rsidRPr="002E7979">
        <w:rPr>
          <w:szCs w:val="24"/>
        </w:rPr>
        <w:t>.</w:t>
      </w:r>
    </w:p>
    <w:p w14:paraId="639F054F" w14:textId="751A2C4C" w:rsidR="00C16536" w:rsidRPr="00C16536" w:rsidRDefault="00C16536" w:rsidP="00C16536">
      <w:pPr>
        <w:pStyle w:val="Considrant"/>
        <w:rPr>
          <w:szCs w:val="24"/>
        </w:rPr>
      </w:pPr>
      <w:r w:rsidRPr="00C16536">
        <w:rPr>
          <w:szCs w:val="24"/>
        </w:rPr>
        <w:t>The</w:t>
      </w:r>
      <w:r>
        <w:rPr>
          <w:szCs w:val="24"/>
        </w:rPr>
        <w:t xml:space="preserve"> </w:t>
      </w:r>
      <w:r w:rsidRPr="00C16536">
        <w:rPr>
          <w:szCs w:val="24"/>
        </w:rPr>
        <w:t>Commission has adopted implementing regulations on the approval or renewal of approval of substances identified as having endocrine disrupting properties for human health or the environment, or as persistent, bioaccumulative and toxic, or very persistent, and very bioaccumulative, pursuant to Regulation (EC) No 1107/2009 of the European Parliament and of the Council , as follows:</w:t>
      </w:r>
    </w:p>
    <w:p w14:paraId="519E945B" w14:textId="188CFA94" w:rsidR="005A15F9" w:rsidRDefault="005A15F9" w:rsidP="339199E3">
      <w:pPr>
        <w:pStyle w:val="Tiret1"/>
        <w:rPr>
          <w:rStyle w:val="EndnoteReference"/>
        </w:rPr>
      </w:pPr>
      <w:r>
        <w:t>Commission Implementing Regulation (EU) 2018/1914 of 6 December 2018 concerning quinoxyfen (ISO)</w:t>
      </w:r>
      <w:r w:rsidR="00AC059D">
        <w:t>;</w:t>
      </w:r>
      <w:r w:rsidRPr="339199E3">
        <w:rPr>
          <w:rStyle w:val="FootnoteReference"/>
        </w:rPr>
        <w:footnoteReference w:id="4"/>
      </w:r>
    </w:p>
    <w:p w14:paraId="4DA5327B" w14:textId="118E5C40" w:rsidR="00030DE3" w:rsidRDefault="00030DE3" w:rsidP="00030DE3">
      <w:pPr>
        <w:pStyle w:val="Tiret1"/>
      </w:pPr>
      <w:r>
        <w:t>Commission Implementing Regulation (EU) 2020/1498 of 15 October 2020 concerning thiophanate-methyl;</w:t>
      </w:r>
      <w:r w:rsidRPr="339199E3">
        <w:rPr>
          <w:rStyle w:val="FootnoteReference"/>
        </w:rPr>
        <w:footnoteReference w:id="5"/>
      </w:r>
    </w:p>
    <w:p w14:paraId="4AF612F9" w14:textId="6C9615B1" w:rsidR="005A15F9" w:rsidRDefault="005A15F9" w:rsidP="005A15F9">
      <w:pPr>
        <w:pStyle w:val="Tiret1"/>
      </w:pPr>
      <w:r>
        <w:t>Commission Implementing Regulation (EU) 2020/2087 of 14 December 2020 concerning mancozeb (ISO)</w:t>
      </w:r>
      <w:r w:rsidR="00DC3782">
        <w:t>;</w:t>
      </w:r>
      <w:r w:rsidRPr="339199E3">
        <w:rPr>
          <w:rStyle w:val="FootnoteReference"/>
        </w:rPr>
        <w:footnoteReference w:id="6"/>
      </w:r>
    </w:p>
    <w:p w14:paraId="572CF2C1" w14:textId="0BB3743F" w:rsidR="009D10FC" w:rsidRDefault="009D10FC" w:rsidP="009D10FC">
      <w:pPr>
        <w:pStyle w:val="Tiret1"/>
      </w:pPr>
      <w:r>
        <w:t>Commission Implementing Regulation (EU) 2023/2657 of 6 November 2023 concerning benthiavalicarb-isopropyl (ISO)</w:t>
      </w:r>
      <w:r w:rsidR="008D3D78">
        <w:t>;</w:t>
      </w:r>
      <w:r w:rsidRPr="339199E3">
        <w:rPr>
          <w:rStyle w:val="FootnoteReference"/>
        </w:rPr>
        <w:footnoteReference w:id="7"/>
      </w:r>
    </w:p>
    <w:p w14:paraId="034D77C7" w14:textId="4D134AE3" w:rsidR="009D10FC" w:rsidRDefault="009D10FC" w:rsidP="009D10FC">
      <w:pPr>
        <w:pStyle w:val="Tiret1"/>
      </w:pPr>
      <w:r>
        <w:t>Commission Implementing Regulation (EU) 2023/2456 of 7 November 2023 concerning clofentezine (ISO)</w:t>
      </w:r>
      <w:r w:rsidR="008D3D78">
        <w:t>;</w:t>
      </w:r>
      <w:r w:rsidRPr="339199E3">
        <w:rPr>
          <w:rStyle w:val="FootnoteReference"/>
        </w:rPr>
        <w:footnoteReference w:id="8"/>
      </w:r>
    </w:p>
    <w:p w14:paraId="552ABCAF" w14:textId="7F594C4F" w:rsidR="009D10FC" w:rsidRDefault="009D10FC" w:rsidP="009D10FC">
      <w:pPr>
        <w:pStyle w:val="Tiret1"/>
      </w:pPr>
      <w:r>
        <w:t>Commission Implementing Regulation (EU) 2023/2513 of 16 November 2023 concerning triflusulfuron-methy</w:t>
      </w:r>
      <w:r w:rsidR="00BC5501">
        <w:t>l</w:t>
      </w:r>
      <w:r w:rsidR="008D3D78">
        <w:t>;</w:t>
      </w:r>
      <w:r w:rsidRPr="339199E3">
        <w:rPr>
          <w:rStyle w:val="FootnoteReference"/>
        </w:rPr>
        <w:footnoteReference w:id="9"/>
      </w:r>
    </w:p>
    <w:p w14:paraId="2319CF3A" w14:textId="3D6D8C28" w:rsidR="009D10FC" w:rsidRDefault="009D10FC" w:rsidP="009D10FC">
      <w:pPr>
        <w:pStyle w:val="Tiret1"/>
      </w:pPr>
      <w:r>
        <w:t>Commission Implementing Regulation (EU) 2024/425 of 2 February 2024 concerning asulam-sodium</w:t>
      </w:r>
      <w:r w:rsidR="00DC3782">
        <w:t>;</w:t>
      </w:r>
      <w:r w:rsidRPr="339199E3">
        <w:rPr>
          <w:rStyle w:val="FootnoteReference"/>
        </w:rPr>
        <w:footnoteReference w:id="10"/>
      </w:r>
    </w:p>
    <w:p w14:paraId="0F2EFEF4" w14:textId="655F839D" w:rsidR="00030DE3" w:rsidRDefault="00030DE3" w:rsidP="00030DE3">
      <w:pPr>
        <w:pStyle w:val="Tiret1"/>
      </w:pPr>
      <w:r>
        <w:t>Commission Implementing Regulation (EU) 2024/1217 of 29 April 2024 concerning mepanipyrim (ISO)</w:t>
      </w:r>
      <w:r w:rsidR="00DC3782">
        <w:t>;</w:t>
      </w:r>
      <w:r w:rsidRPr="339199E3">
        <w:rPr>
          <w:rStyle w:val="FootnoteReference"/>
        </w:rPr>
        <w:footnoteReference w:id="11"/>
      </w:r>
    </w:p>
    <w:p w14:paraId="30BAC786" w14:textId="620ADA50" w:rsidR="005B1FEF" w:rsidRDefault="005B1FEF" w:rsidP="005B1FEF">
      <w:pPr>
        <w:pStyle w:val="Tiret1"/>
      </w:pPr>
      <w:r>
        <w:t>Commission Implementing Regulation (EU) 2024/1207 of 29 April 2024 concerning dimethomorph (ISO)</w:t>
      </w:r>
      <w:r w:rsidR="00DC3782">
        <w:t>;</w:t>
      </w:r>
      <w:r w:rsidRPr="339199E3">
        <w:rPr>
          <w:rStyle w:val="FootnoteReference"/>
        </w:rPr>
        <w:footnoteReference w:id="12"/>
      </w:r>
    </w:p>
    <w:p w14:paraId="45E11A48" w14:textId="1C71E999" w:rsidR="00030DE3" w:rsidRDefault="00030DE3" w:rsidP="00030DE3">
      <w:pPr>
        <w:pStyle w:val="Tiret1"/>
      </w:pPr>
      <w:r>
        <w:t>Commission Implementing Regulation (EU) 2024/2806 of 31 October 2024 concerning metribuzin (ISO);</w:t>
      </w:r>
      <w:r w:rsidRPr="339199E3">
        <w:rPr>
          <w:rStyle w:val="FootnoteReference"/>
        </w:rPr>
        <w:footnoteReference w:id="13"/>
      </w:r>
    </w:p>
    <w:p w14:paraId="39B22636" w14:textId="197F6D51" w:rsidR="00E51F60" w:rsidRDefault="004E487E" w:rsidP="00E51F60">
      <w:pPr>
        <w:pStyle w:val="Tiret1"/>
      </w:pPr>
      <w:r>
        <w:t>Commission Implementing Regulation (EU) 2025/910 of 20 May 2025 concerning flufenacet (ISO</w:t>
      </w:r>
      <w:r w:rsidR="00BC5501">
        <w:t>)</w:t>
      </w:r>
      <w:r w:rsidR="1A30E358">
        <w:t>.</w:t>
      </w:r>
      <w:r w:rsidRPr="339199E3">
        <w:rPr>
          <w:rStyle w:val="FootnoteReference"/>
        </w:rPr>
        <w:footnoteReference w:id="14"/>
      </w:r>
    </w:p>
    <w:p w14:paraId="4B5E9466" w14:textId="4B732537" w:rsidR="003E530E" w:rsidRPr="00B15884" w:rsidRDefault="003E530E" w:rsidP="00B542D3">
      <w:pPr>
        <w:pStyle w:val="Considrant"/>
      </w:pPr>
      <w:r w:rsidRPr="005F4065">
        <w:lastRenderedPageBreak/>
        <w:t>For the substances listed in the above-mentioned Commission Implementing Regulations a</w:t>
      </w:r>
      <w:r w:rsidR="00B76A17" w:rsidRPr="005F4065">
        <w:t xml:space="preserve"> decision on </w:t>
      </w:r>
      <w:r w:rsidR="00D3746E" w:rsidRPr="005F4065">
        <w:t>the application</w:t>
      </w:r>
      <w:r w:rsidRPr="005F4065">
        <w:t xml:space="preserve"> for approval or renewal of the approval of the</w:t>
      </w:r>
      <w:r w:rsidR="00364E77" w:rsidRPr="005F4065">
        <w:t>se</w:t>
      </w:r>
      <w:r w:rsidR="00DE5F39" w:rsidRPr="005F4065">
        <w:t xml:space="preserve"> </w:t>
      </w:r>
      <w:r w:rsidRPr="005F4065">
        <w:t>substance</w:t>
      </w:r>
      <w:r w:rsidR="00B76A17" w:rsidRPr="005F4065">
        <w:t>s</w:t>
      </w:r>
      <w:r w:rsidRPr="005F4065">
        <w:t xml:space="preserve"> in accordance with the relevant provisions </w:t>
      </w:r>
      <w:r w:rsidR="0035550A" w:rsidRPr="005F4065">
        <w:t>of Regulation</w:t>
      </w:r>
      <w:r w:rsidRPr="005F4065">
        <w:t xml:space="preserve"> </w:t>
      </w:r>
      <w:r w:rsidR="00D647FB" w:rsidRPr="005F4065">
        <w:t xml:space="preserve">(EC) No 1107/2009 </w:t>
      </w:r>
      <w:r w:rsidRPr="005F4065">
        <w:t xml:space="preserve">was </w:t>
      </w:r>
      <w:r w:rsidR="00D647FB" w:rsidRPr="005F4065">
        <w:t>adopt</w:t>
      </w:r>
      <w:r w:rsidRPr="005F4065">
        <w:t>ed b</w:t>
      </w:r>
      <w:r w:rsidR="009D521B" w:rsidRPr="005F4065">
        <w:t>y</w:t>
      </w:r>
      <w:r w:rsidRPr="005F4065">
        <w:t xml:space="preserve"> 11</w:t>
      </w:r>
      <w:r w:rsidR="002E7979" w:rsidRPr="005F4065">
        <w:t xml:space="preserve"> </w:t>
      </w:r>
      <w:r w:rsidRPr="005F4065">
        <w:t>June 2025</w:t>
      </w:r>
      <w:r>
        <w:t>.</w:t>
      </w:r>
    </w:p>
    <w:p w14:paraId="12BACCB9" w14:textId="6E4BA95C" w:rsidR="00C2636C" w:rsidRDefault="5BF2C35D" w:rsidP="00C2636C">
      <w:pPr>
        <w:pStyle w:val="Considrant"/>
      </w:pPr>
      <w:r w:rsidRPr="00030DE3">
        <w:t>The Commission has adopted implementing regulations on the approval or renewal of approval of active substances identified as having endocrine disrupting properties for human health or the environment, or as persistent, bioaccumulative and toxic, or very persistent and very bioaccumulative, pursuant to Regulation (EU) No 528/2012</w:t>
      </w:r>
      <w:r w:rsidR="49DBCE4A">
        <w:t xml:space="preserve"> of the European Parliament and of the Council</w:t>
      </w:r>
      <w:r w:rsidR="00A00F60">
        <w:rPr>
          <w:rStyle w:val="FootnoteReference"/>
        </w:rPr>
        <w:footnoteReference w:id="15"/>
      </w:r>
      <w:r w:rsidR="5762D5AF">
        <w:t>, as follows</w:t>
      </w:r>
      <w:r>
        <w:t>:</w:t>
      </w:r>
    </w:p>
    <w:p w14:paraId="2ACBDF47" w14:textId="06F9982B" w:rsidR="00030DE3" w:rsidRDefault="00030DE3" w:rsidP="00030DE3">
      <w:pPr>
        <w:pStyle w:val="Tiret1"/>
      </w:pPr>
      <w:r>
        <w:t>Commission Implementing Regulation (EU) 2015/1982 of 4 November 2015 concerning hexaflumuron (ISO);</w:t>
      </w:r>
      <w:r w:rsidRPr="339199E3">
        <w:rPr>
          <w:rStyle w:val="FootnoteReference"/>
        </w:rPr>
        <w:footnoteReference w:id="16"/>
      </w:r>
    </w:p>
    <w:p w14:paraId="36C27F13" w14:textId="5172BF0B" w:rsidR="00030DE3" w:rsidRDefault="00030DE3" w:rsidP="00030DE3">
      <w:pPr>
        <w:pStyle w:val="Tiret1"/>
      </w:pPr>
      <w:r>
        <w:t>Commission Implementing Regulation (EU) 2017/1381 of 25 July 2017 concerning brodifacoum (ISO);</w:t>
      </w:r>
      <w:r w:rsidRPr="339199E3">
        <w:rPr>
          <w:rStyle w:val="FootnoteReference"/>
        </w:rPr>
        <w:footnoteReference w:id="17"/>
      </w:r>
    </w:p>
    <w:p w14:paraId="5E91D8D0" w14:textId="03822F07" w:rsidR="00030DE3" w:rsidRDefault="00030DE3" w:rsidP="00030DE3">
      <w:pPr>
        <w:pStyle w:val="Tiret1"/>
      </w:pPr>
      <w:r>
        <w:t>Commission Implementing Regulation (EU) 2017/1380 of 25 July 2017 concerning bromadiolone (ISO);</w:t>
      </w:r>
      <w:r w:rsidRPr="339199E3">
        <w:rPr>
          <w:rStyle w:val="FootnoteReference"/>
        </w:rPr>
        <w:footnoteReference w:id="18"/>
      </w:r>
    </w:p>
    <w:p w14:paraId="78E5BEF1" w14:textId="74D8CD4A" w:rsidR="00030DE3" w:rsidRDefault="00030DE3" w:rsidP="00030DE3">
      <w:pPr>
        <w:pStyle w:val="Tiret1"/>
      </w:pPr>
      <w:r>
        <w:t>Commission Implementing Regulation (EU) 2017/1379 of 25 July 2017 concerning difenacoum (ISO);</w:t>
      </w:r>
      <w:r w:rsidRPr="339199E3">
        <w:rPr>
          <w:rStyle w:val="FootnoteReference"/>
        </w:rPr>
        <w:footnoteReference w:id="19"/>
      </w:r>
    </w:p>
    <w:p w14:paraId="20DB1512" w14:textId="2B9307BE" w:rsidR="00030DE3" w:rsidRDefault="00030DE3" w:rsidP="00030DE3">
      <w:pPr>
        <w:pStyle w:val="Tiret1"/>
      </w:pPr>
      <w:r>
        <w:t>Commission Implementing Regulation (EU) 2017/1382 of 25 July 2017 concerning difethialone (ISO);</w:t>
      </w:r>
      <w:r w:rsidRPr="339199E3">
        <w:rPr>
          <w:rStyle w:val="FootnoteReference"/>
        </w:rPr>
        <w:footnoteReference w:id="20"/>
      </w:r>
    </w:p>
    <w:p w14:paraId="0DF75CA2" w14:textId="0FC7DB68" w:rsidR="00911450" w:rsidRDefault="00030DE3" w:rsidP="00911450">
      <w:pPr>
        <w:pStyle w:val="Tiret1"/>
      </w:pPr>
      <w:r>
        <w:t>Commission Implementing Regulation (EU) 2017/1383 of 25 July 2017 concerning flocoumafen;</w:t>
      </w:r>
      <w:r w:rsidRPr="339199E3">
        <w:rPr>
          <w:rStyle w:val="FootnoteReference"/>
        </w:rPr>
        <w:footnoteReference w:id="21"/>
      </w:r>
      <w:r w:rsidR="00911450">
        <w:t xml:space="preserve"> </w:t>
      </w:r>
    </w:p>
    <w:p w14:paraId="1932604B" w14:textId="225903E9" w:rsidR="002C676B" w:rsidRDefault="002C676B" w:rsidP="002C676B">
      <w:pPr>
        <w:pStyle w:val="Tiret1"/>
      </w:pPr>
      <w:r>
        <w:t>Commission Implementing Regulation (EU) 2019/637 of 23 April 2019 concerning cholecalciferol (ISO);</w:t>
      </w:r>
      <w:r w:rsidRPr="339199E3">
        <w:rPr>
          <w:rStyle w:val="FootnoteReference"/>
        </w:rPr>
        <w:footnoteReference w:id="22"/>
      </w:r>
    </w:p>
    <w:p w14:paraId="797C826B" w14:textId="723E07B3" w:rsidR="002C676B" w:rsidRDefault="002C676B" w:rsidP="002C676B">
      <w:pPr>
        <w:pStyle w:val="Tiret1"/>
      </w:pPr>
      <w:r>
        <w:t>Commission Implementing Regulation (EU) 2022/1950 of 14 October 2022 concerning creosote;</w:t>
      </w:r>
      <w:r w:rsidRPr="339199E3">
        <w:rPr>
          <w:rStyle w:val="FootnoteReference"/>
        </w:rPr>
        <w:footnoteReference w:id="23"/>
      </w:r>
    </w:p>
    <w:p w14:paraId="039872F7" w14:textId="6D1145C1" w:rsidR="00911450" w:rsidRDefault="00911450" w:rsidP="00911450">
      <w:pPr>
        <w:pStyle w:val="Tiret1"/>
      </w:pPr>
      <w:r>
        <w:t>Commission Implementing Decision (EU) 2023/459 of 2 March 2023 concerning 2,2-dibromo-2-cyanoacetamide [DBNPA];</w:t>
      </w:r>
      <w:r w:rsidRPr="339199E3">
        <w:rPr>
          <w:rStyle w:val="FootnoteReference"/>
        </w:rPr>
        <w:footnoteReference w:id="24"/>
      </w:r>
    </w:p>
    <w:p w14:paraId="6BF53CF9" w14:textId="6D8BB6FE" w:rsidR="00911450" w:rsidRDefault="00911450" w:rsidP="00911450">
      <w:pPr>
        <w:pStyle w:val="Tiret1"/>
      </w:pPr>
      <w:r>
        <w:t>Commission Implementing Decision (EU) 2023/1097 of 5 June 2023 concerning cyanamide;</w:t>
      </w:r>
      <w:r w:rsidRPr="339199E3">
        <w:rPr>
          <w:rStyle w:val="FootnoteReference"/>
        </w:rPr>
        <w:footnoteReference w:id="25"/>
      </w:r>
    </w:p>
    <w:p w14:paraId="5419D43C" w14:textId="25C4DC34" w:rsidR="00911450" w:rsidRDefault="00911450" w:rsidP="00911450">
      <w:pPr>
        <w:pStyle w:val="Tiret1"/>
      </w:pPr>
      <w:r>
        <w:t>Commission Implementing Regulation (EU) 2023/2596 of 21 November 2023 concerning propiconazole (ISO)</w:t>
      </w:r>
      <w:r w:rsidR="116E1197">
        <w:t>.</w:t>
      </w:r>
      <w:r w:rsidRPr="339199E3">
        <w:rPr>
          <w:rStyle w:val="FootnoteReference"/>
        </w:rPr>
        <w:footnoteReference w:id="26"/>
      </w:r>
    </w:p>
    <w:p w14:paraId="65B8CB3A" w14:textId="6658DAD6" w:rsidR="00C74342" w:rsidRPr="005F4065" w:rsidRDefault="00C74342" w:rsidP="00B542D3">
      <w:pPr>
        <w:pStyle w:val="Considrant"/>
      </w:pPr>
      <w:r w:rsidRPr="005F4065">
        <w:lastRenderedPageBreak/>
        <w:t xml:space="preserve">For the substances listed in the above-mentioned Commission Implementing Regulations </w:t>
      </w:r>
      <w:r w:rsidR="003B3B59" w:rsidRPr="005F4065">
        <w:t xml:space="preserve">a </w:t>
      </w:r>
      <w:r w:rsidR="007A2BE3" w:rsidRPr="005F4065">
        <w:t>decision on the</w:t>
      </w:r>
      <w:r w:rsidRPr="005F4065">
        <w:t xml:space="preserve"> application for approval or renewal of the approval of th</w:t>
      </w:r>
      <w:r w:rsidR="00293639" w:rsidRPr="005F4065">
        <w:t>ose</w:t>
      </w:r>
      <w:r w:rsidRPr="005F4065">
        <w:t xml:space="preserve"> substance</w:t>
      </w:r>
      <w:r w:rsidR="00293639" w:rsidRPr="005F4065">
        <w:t>s</w:t>
      </w:r>
      <w:r w:rsidRPr="005F4065">
        <w:t xml:space="preserve"> in accordance with the relevant provisions of Regulation</w:t>
      </w:r>
      <w:r w:rsidR="00352DFA" w:rsidRPr="005F4065">
        <w:t xml:space="preserve"> (EU) No 528/2012 </w:t>
      </w:r>
      <w:r w:rsidRPr="005F4065">
        <w:t xml:space="preserve">was </w:t>
      </w:r>
      <w:r w:rsidR="001F3BB7" w:rsidRPr="005F4065">
        <w:t>adopt</w:t>
      </w:r>
      <w:r w:rsidRPr="005F4065">
        <w:t>ed before 11</w:t>
      </w:r>
      <w:r w:rsidR="00B542D3">
        <w:t xml:space="preserve"> </w:t>
      </w:r>
      <w:r w:rsidRPr="005F4065">
        <w:t>June 2025.</w:t>
      </w:r>
    </w:p>
    <w:p w14:paraId="58553372" w14:textId="53E1570B" w:rsidR="00030DE3" w:rsidRDefault="00030DE3" w:rsidP="00C2636C">
      <w:pPr>
        <w:pStyle w:val="Considrant"/>
      </w:pPr>
      <w:r w:rsidRPr="00030DE3">
        <w:t>In light of the</w:t>
      </w:r>
      <w:r w:rsidR="002D22F7">
        <w:t xml:space="preserve"> </w:t>
      </w:r>
      <w:r w:rsidR="005C2555">
        <w:t>above</w:t>
      </w:r>
      <w:r w:rsidR="00F37D92">
        <w:t>-</w:t>
      </w:r>
      <w:r w:rsidR="005C2555">
        <w:t xml:space="preserve">mentioned </w:t>
      </w:r>
      <w:r w:rsidRPr="00030DE3">
        <w:t xml:space="preserve">decisions </w:t>
      </w:r>
      <w:r w:rsidR="00ED78FA">
        <w:t xml:space="preserve">and </w:t>
      </w:r>
      <w:r w:rsidR="002A122B">
        <w:t xml:space="preserve">implementing </w:t>
      </w:r>
      <w:r w:rsidR="00ED78FA">
        <w:t>r</w:t>
      </w:r>
      <w:r w:rsidRPr="00030DE3">
        <w:t xml:space="preserve">egulations, it is appropriate to insert new entries and </w:t>
      </w:r>
      <w:r w:rsidR="00AE681C">
        <w:t xml:space="preserve">modify </w:t>
      </w:r>
      <w:r w:rsidRPr="00030DE3">
        <w:t xml:space="preserve">existing ones </w:t>
      </w:r>
      <w:r w:rsidR="00AE681C">
        <w:t xml:space="preserve">in Part </w:t>
      </w:r>
      <w:r w:rsidR="00470FB0">
        <w:t>3</w:t>
      </w:r>
      <w:r w:rsidR="00AE681C">
        <w:t xml:space="preserve">, Table 3, of </w:t>
      </w:r>
      <w:r w:rsidR="00470FB0">
        <w:t>A</w:t>
      </w:r>
      <w:r w:rsidR="00AE681C">
        <w:t>nnex VI to Regulation (EC) No 1272/2008</w:t>
      </w:r>
      <w:r w:rsidR="00470FB0">
        <w:t xml:space="preserve"> </w:t>
      </w:r>
      <w:r w:rsidRPr="00030DE3">
        <w:t>in order to reflect the classification and labelling of the substances concerned as endocrine disruptors for human health or the environment or as persistent, bioaccumulative and toxic, or as very persistent and very bioaccumulative substances, on the basis of the assessments carried out under Regulation (EC) No 1907/2006, Regulation (EC) No 1107/2009 or Regulation (EU) No 528/2012.</w:t>
      </w:r>
      <w:r>
        <w:t xml:space="preserve"> </w:t>
      </w:r>
    </w:p>
    <w:p w14:paraId="49793D81" w14:textId="73982BBE" w:rsidR="00030DE3" w:rsidRDefault="00030DE3" w:rsidP="00C2636C">
      <w:pPr>
        <w:pStyle w:val="Considrant"/>
      </w:pPr>
      <w:r w:rsidRPr="00030DE3">
        <w:t>Regulation (EC) No 1272/2008 should therefore be amended accordingly.</w:t>
      </w:r>
    </w:p>
    <w:p w14:paraId="4D13A052" w14:textId="13ABCA8D" w:rsidR="00030DE3" w:rsidRPr="001A6596" w:rsidRDefault="00030DE3" w:rsidP="00C2636C">
      <w:pPr>
        <w:pStyle w:val="Considrant"/>
      </w:pPr>
      <w:r w:rsidRPr="00030DE3">
        <w:t xml:space="preserve">In order to allow a proportionate and practicable adaptation period for suppliers, </w:t>
      </w:r>
      <w:r w:rsidR="00CF2AD4">
        <w:t>the application of this Regulation should be deferred</w:t>
      </w:r>
      <w:r w:rsidR="00A15861">
        <w:t xml:space="preserve"> by </w:t>
      </w:r>
      <w:r w:rsidRPr="00030DE3">
        <w:t xml:space="preserve">a period of </w:t>
      </w:r>
      <w:r w:rsidR="00754124">
        <w:t>eighteen</w:t>
      </w:r>
      <w:r w:rsidRPr="00030DE3">
        <w:t xml:space="preserve"> months. Suppliers should, however, have the possibility to apply the new or revised harmonised classifications, and to adapt the labelling and packaging accordingly, on a voluntary basis before the end of that period</w:t>
      </w:r>
      <w:r w:rsidR="00825643">
        <w:t>,</w:t>
      </w:r>
      <w:r>
        <w:t xml:space="preserve"> </w:t>
      </w:r>
    </w:p>
    <w:p w14:paraId="395B0437" w14:textId="77777777" w:rsidR="008C42CC" w:rsidRPr="00937BA9" w:rsidRDefault="008C42CC" w:rsidP="006A30A8">
      <w:pPr>
        <w:pStyle w:val="Formuledadoption"/>
      </w:pPr>
      <w:r w:rsidRPr="00937BA9">
        <w:t>HAS ADOPTED THIS REGULATION:</w:t>
      </w:r>
    </w:p>
    <w:p w14:paraId="73BD763D" w14:textId="57B9CC2A" w:rsidR="008C42CC" w:rsidRPr="00937BA9" w:rsidRDefault="008C42CC" w:rsidP="006A30A8">
      <w:pPr>
        <w:pStyle w:val="Titrearticle"/>
      </w:pPr>
      <w:r w:rsidRPr="00937BA9">
        <w:t>Article 1</w:t>
      </w:r>
    </w:p>
    <w:p w14:paraId="466DEE35" w14:textId="034302F7" w:rsidR="008C42CC" w:rsidRPr="00FB5F73" w:rsidRDefault="00030DE3" w:rsidP="006A30A8">
      <w:r w:rsidRPr="00DD5835">
        <w:t>Annex VI to Regulation (EC) No 1272/2008 is amended as set out in the Annex to this Regulation.</w:t>
      </w:r>
    </w:p>
    <w:p w14:paraId="02583E66" w14:textId="0AE8D7C6" w:rsidR="008C42CC" w:rsidRPr="00937BA9" w:rsidRDefault="008C42CC" w:rsidP="006A30A8">
      <w:pPr>
        <w:pStyle w:val="Titrearticle"/>
      </w:pPr>
      <w:r w:rsidRPr="00937BA9">
        <w:t>Article</w:t>
      </w:r>
      <w:r>
        <w:t xml:space="preserve"> </w:t>
      </w:r>
      <w:r w:rsidR="00375DE2">
        <w:t>2</w:t>
      </w:r>
    </w:p>
    <w:p w14:paraId="0E5E8C0D" w14:textId="2A7B6CF1" w:rsidR="008C42CC" w:rsidRDefault="00FB5F73" w:rsidP="006A30A8">
      <w:r w:rsidRPr="00FB5F73">
        <w:t xml:space="preserve">This Regulation shall enter into force on the twentieth day following that of its publication in the </w:t>
      </w:r>
      <w:r w:rsidR="008C42CC" w:rsidRPr="00937BA9">
        <w:rPr>
          <w:i/>
        </w:rPr>
        <w:t>Official Journal of the European Union</w:t>
      </w:r>
      <w:r w:rsidR="008C42CC" w:rsidRPr="00937BA9">
        <w:t>.</w:t>
      </w:r>
    </w:p>
    <w:p w14:paraId="2D100F6D" w14:textId="06F427DD" w:rsidR="00FB5F73" w:rsidRPr="00FB5F73" w:rsidRDefault="00FB5F73" w:rsidP="00FB5F73">
      <w:pPr>
        <w:rPr>
          <w:i/>
          <w:iCs/>
        </w:rPr>
      </w:pPr>
      <w:r>
        <w:t xml:space="preserve">It shall apply </w:t>
      </w:r>
      <w:r w:rsidRPr="004B4AC7">
        <w:t>from</w:t>
      </w:r>
      <w:r w:rsidRPr="00FB5F73">
        <w:rPr>
          <w:i/>
          <w:iCs/>
        </w:rPr>
        <w:t xml:space="preserve"> [</w:t>
      </w:r>
      <w:r w:rsidR="00A70D30">
        <w:rPr>
          <w:i/>
          <w:iCs/>
        </w:rPr>
        <w:t xml:space="preserve">first </w:t>
      </w:r>
      <w:r w:rsidR="00C7135F" w:rsidRPr="00C7135F">
        <w:rPr>
          <w:i/>
          <w:iCs/>
        </w:rPr>
        <w:t xml:space="preserve">day of the month of </w:t>
      </w:r>
      <w:r w:rsidR="00DD22D0">
        <w:rPr>
          <w:i/>
          <w:iCs/>
        </w:rPr>
        <w:t xml:space="preserve">entry into force plus </w:t>
      </w:r>
      <w:r w:rsidR="00946725">
        <w:rPr>
          <w:i/>
          <w:iCs/>
        </w:rPr>
        <w:t>19 months</w:t>
      </w:r>
      <w:r w:rsidRPr="00FB5F73">
        <w:rPr>
          <w:i/>
          <w:iCs/>
        </w:rPr>
        <w:t xml:space="preserve">] </w:t>
      </w:r>
    </w:p>
    <w:p w14:paraId="2B452F23" w14:textId="4B5A475E" w:rsidR="00FB5F73" w:rsidRPr="00937BA9" w:rsidRDefault="00FB5F73" w:rsidP="00FB5F73">
      <w:r>
        <w:t xml:space="preserve">However, suppliers may classify, label and package substances and mixtures in accordance with Regulation (EC) No 1272/2008 as amended by this Regulation from </w:t>
      </w:r>
      <w:r w:rsidR="008F2A94">
        <w:t>[</w:t>
      </w:r>
      <w:r w:rsidRPr="00C15ECF">
        <w:rPr>
          <w:i/>
          <w:iCs/>
        </w:rPr>
        <w:t>date of entry into force</w:t>
      </w:r>
      <w:r w:rsidR="008F2A94">
        <w:t>]</w:t>
      </w:r>
      <w:r>
        <w:t>.</w:t>
      </w:r>
    </w:p>
    <w:p w14:paraId="24CE10C6" w14:textId="77777777" w:rsidR="008C42CC" w:rsidRDefault="008C42CC" w:rsidP="006A30A8">
      <w:pPr>
        <w:pStyle w:val="Applicationdirecte"/>
      </w:pPr>
      <w:r w:rsidRPr="00937BA9">
        <w:t>This Regulation shall be binding in its entirety and directly applicable in all Member States.</w:t>
      </w:r>
    </w:p>
    <w:p w14:paraId="3F3D6C07" w14:textId="6BF62FB4" w:rsidR="008C42CC" w:rsidRDefault="00560B1A" w:rsidP="00560B1A">
      <w:pPr>
        <w:pStyle w:val="Fait"/>
      </w:pPr>
      <w:r w:rsidRPr="00560B1A">
        <w:t>Done at Brussels,</w:t>
      </w:r>
    </w:p>
    <w:p w14:paraId="32660C48" w14:textId="77777777" w:rsidR="008C42CC" w:rsidRDefault="008C42CC" w:rsidP="008C42CC">
      <w:pPr>
        <w:pStyle w:val="Institutionquisigne"/>
      </w:pPr>
      <w:r w:rsidRPr="008C42CC">
        <w:tab/>
        <w:t>For the Commission</w:t>
      </w:r>
    </w:p>
    <w:p w14:paraId="0FF1E16E" w14:textId="47D47E52" w:rsidR="008C42CC" w:rsidRPr="00623F56" w:rsidRDefault="008C42CC" w:rsidP="008C42CC">
      <w:pPr>
        <w:pStyle w:val="Personnequisigne"/>
        <w:rPr>
          <w:lang w:val="de-DE"/>
        </w:rPr>
      </w:pPr>
      <w:r w:rsidRPr="008C42CC">
        <w:tab/>
      </w:r>
      <w:r w:rsidRPr="00623F56">
        <w:rPr>
          <w:lang w:val="de-DE"/>
        </w:rPr>
        <w:t>The President</w:t>
      </w:r>
      <w:r w:rsidRPr="00623F56">
        <w:rPr>
          <w:lang w:val="de-DE"/>
        </w:rPr>
        <w:br/>
      </w:r>
      <w:r w:rsidRPr="00623F56">
        <w:rPr>
          <w:lang w:val="de-DE"/>
        </w:rPr>
        <w:tab/>
      </w:r>
      <w:r w:rsidR="00FB5F73" w:rsidRPr="00045463">
        <w:rPr>
          <w:lang w:val="de-DE"/>
        </w:rPr>
        <w:t>Ursula VON DER LEYEN</w:t>
      </w:r>
      <w:r w:rsidRPr="00623F56">
        <w:rPr>
          <w:lang w:val="de-DE"/>
        </w:rPr>
        <w:br/>
      </w:r>
      <w:r w:rsidRPr="00623F56">
        <w:rPr>
          <w:lang w:val="de-DE"/>
        </w:rPr>
        <w:tab/>
      </w:r>
    </w:p>
    <w:sectPr w:rsidR="008C42CC" w:rsidRPr="00623F56" w:rsidSect="00B70E85">
      <w:footerReference w:type="first" r:id="rId23"/>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D884E8" w14:textId="77777777" w:rsidR="00EA67CD" w:rsidRDefault="00EA67CD" w:rsidP="008C42CC">
      <w:pPr>
        <w:spacing w:before="0" w:after="0"/>
      </w:pPr>
      <w:r>
        <w:separator/>
      </w:r>
    </w:p>
  </w:endnote>
  <w:endnote w:type="continuationSeparator" w:id="0">
    <w:p w14:paraId="00879DF7" w14:textId="77777777" w:rsidR="00EA67CD" w:rsidRDefault="00EA67CD" w:rsidP="008C42CC">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A17A3D" w14:textId="2B4F08A3" w:rsidR="008C42CC" w:rsidRPr="00B70E85" w:rsidRDefault="00B70E85" w:rsidP="00B70E85">
    <w:pPr>
      <w:pStyle w:val="Footer"/>
      <w:rPr>
        <w:rFonts w:ascii="Arial" w:hAnsi="Arial" w:cs="Arial"/>
        <w:b/>
        <w:sz w:val="48"/>
      </w:rPr>
    </w:pPr>
    <w:r w:rsidRPr="00B70E85">
      <w:rPr>
        <w:rFonts w:ascii="Arial" w:hAnsi="Arial" w:cs="Arial"/>
        <w:b/>
        <w:sz w:val="48"/>
      </w:rPr>
      <w:t>EN</w:t>
    </w:r>
    <w:r w:rsidRPr="00B70E85">
      <w:rPr>
        <w:rFonts w:ascii="Arial" w:hAnsi="Arial" w:cs="Arial"/>
        <w:b/>
        <w:sz w:val="48"/>
      </w:rPr>
      <w:tab/>
    </w:r>
    <w:r w:rsidRPr="00B70E85">
      <w:rPr>
        <w:rFonts w:ascii="Arial" w:hAnsi="Arial" w:cs="Arial"/>
        <w:b/>
        <w:sz w:val="48"/>
      </w:rPr>
      <w:tab/>
    </w:r>
    <w:r w:rsidRPr="00B70E85">
      <w:tab/>
    </w:r>
    <w:r w:rsidRPr="00B70E85">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BFD9B" w14:textId="3AAC0C65" w:rsidR="008C42CC" w:rsidRPr="00B70E85" w:rsidRDefault="00B70E85" w:rsidP="00B70E85">
    <w:pPr>
      <w:pStyle w:val="Footer"/>
      <w:rPr>
        <w:rFonts w:ascii="Arial" w:hAnsi="Arial" w:cs="Arial"/>
        <w:b/>
        <w:sz w:val="48"/>
      </w:rPr>
    </w:pPr>
    <w:r w:rsidRPr="00B70E85">
      <w:rPr>
        <w:rFonts w:ascii="Arial" w:hAnsi="Arial" w:cs="Arial"/>
        <w:b/>
        <w:sz w:val="48"/>
      </w:rPr>
      <w:t>EN</w:t>
    </w:r>
    <w:r w:rsidRPr="00B70E85">
      <w:rPr>
        <w:rFonts w:ascii="Arial" w:hAnsi="Arial" w:cs="Arial"/>
        <w:b/>
        <w:sz w:val="48"/>
      </w:rPr>
      <w:tab/>
    </w:r>
    <w:r w:rsidRPr="00B70E85">
      <w:rPr>
        <w:rFonts w:ascii="Arial" w:hAnsi="Arial" w:cs="Arial"/>
        <w:b/>
        <w:sz w:val="48"/>
      </w:rPr>
      <w:tab/>
    </w:r>
    <w:r w:rsidRPr="00B70E85">
      <w:tab/>
    </w:r>
    <w:r w:rsidRPr="00B70E85">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A6946E" w14:textId="77777777" w:rsidR="00B70E85" w:rsidRPr="00B70E85" w:rsidRDefault="00B70E85" w:rsidP="00B70E8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44BA0" w14:textId="77777777" w:rsidR="008C42CC" w:rsidRPr="008C42CC" w:rsidRDefault="008C42CC" w:rsidP="008C42CC">
    <w:pPr>
      <w:pStyle w:val="Footer"/>
      <w:rPr>
        <w:rFonts w:ascii="Arial" w:hAnsi="Arial" w:cs="Arial"/>
        <w:b/>
        <w:sz w:val="48"/>
      </w:rPr>
    </w:pPr>
    <w:r w:rsidRPr="008C42CC">
      <w:rPr>
        <w:rFonts w:ascii="Arial" w:hAnsi="Arial" w:cs="Arial"/>
        <w:b/>
        <w:sz w:val="48"/>
      </w:rPr>
      <w:t>EN</w:t>
    </w:r>
    <w:r w:rsidRPr="008C42CC">
      <w:rPr>
        <w:rFonts w:ascii="Arial" w:hAnsi="Arial" w:cs="Arial"/>
        <w:b/>
        <w:sz w:val="48"/>
      </w:rPr>
      <w:tab/>
    </w:r>
    <w:r w:rsidRPr="008C42CC">
      <w:rPr>
        <w:rFonts w:ascii="Arial" w:hAnsi="Arial" w:cs="Arial"/>
        <w:b/>
        <w:sz w:val="48"/>
      </w:rPr>
      <w:tab/>
    </w:r>
    <w:r w:rsidRPr="008C42CC">
      <w:tab/>
    </w:r>
    <w:r w:rsidRPr="008C42CC">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8C378" w14:textId="7F148A66" w:rsidR="00B70E85" w:rsidRPr="00B70E85" w:rsidRDefault="00B70E85" w:rsidP="00B70E85">
    <w:pPr>
      <w:pStyle w:val="Footer"/>
      <w:rPr>
        <w:rFonts w:ascii="Arial" w:hAnsi="Arial" w:cs="Arial"/>
        <w:b/>
        <w:sz w:val="48"/>
      </w:rPr>
    </w:pPr>
    <w:r w:rsidRPr="00B70E85">
      <w:rPr>
        <w:rFonts w:ascii="Arial" w:hAnsi="Arial" w:cs="Arial"/>
        <w:b/>
        <w:sz w:val="48"/>
      </w:rPr>
      <w:t>EN</w:t>
    </w:r>
    <w:r w:rsidRPr="00B70E85">
      <w:rPr>
        <w:rFonts w:ascii="Arial" w:hAnsi="Arial" w:cs="Arial"/>
        <w:b/>
        <w:sz w:val="48"/>
      </w:rPr>
      <w:tab/>
    </w:r>
    <w:r>
      <w:fldChar w:fldCharType="begin"/>
    </w:r>
    <w:r>
      <w:instrText xml:space="preserve"> PAGE  \* MERGEFORMAT </w:instrText>
    </w:r>
    <w:r>
      <w:fldChar w:fldCharType="separate"/>
    </w:r>
    <w:r>
      <w:rPr>
        <w:noProof/>
      </w:rPr>
      <w:t>1</w:t>
    </w:r>
    <w:r>
      <w:fldChar w:fldCharType="end"/>
    </w:r>
    <w:r>
      <w:tab/>
    </w:r>
    <w:r w:rsidRPr="00B70E85">
      <w:tab/>
    </w:r>
    <w:r w:rsidRPr="00B70E85">
      <w:rPr>
        <w:rFonts w:ascii="Arial" w:hAnsi="Arial" w:cs="Arial"/>
        <w:b/>
        <w:sz w:val="48"/>
      </w:rPr>
      <w:t>EN</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CB9908" w14:textId="77777777" w:rsidR="008C42CC" w:rsidRDefault="008C42CC" w:rsidP="00B70E85">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549E24" w14:textId="77777777" w:rsidR="008C42CC" w:rsidRPr="00FB18DC" w:rsidRDefault="008C42CC" w:rsidP="006A30A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7D7E20" w14:textId="77777777" w:rsidR="00EA67CD" w:rsidRDefault="00EA67CD" w:rsidP="008C42CC">
      <w:pPr>
        <w:spacing w:before="0" w:after="0"/>
      </w:pPr>
      <w:r>
        <w:separator/>
      </w:r>
    </w:p>
  </w:footnote>
  <w:footnote w:type="continuationSeparator" w:id="0">
    <w:p w14:paraId="0F8FF7FF" w14:textId="77777777" w:rsidR="00EA67CD" w:rsidRDefault="00EA67CD" w:rsidP="008C42CC">
      <w:pPr>
        <w:spacing w:before="0" w:after="0"/>
      </w:pPr>
      <w:r>
        <w:continuationSeparator/>
      </w:r>
    </w:p>
  </w:footnote>
  <w:footnote w:id="1">
    <w:p w14:paraId="38F61080" w14:textId="580AB1E5" w:rsidR="008C42CC" w:rsidRPr="00BF787D" w:rsidRDefault="008C42CC" w:rsidP="00BF787D">
      <w:pPr>
        <w:pStyle w:val="FootnoteText"/>
        <w:rPr>
          <w:lang w:val="fi-FI"/>
        </w:rPr>
      </w:pPr>
      <w:r>
        <w:rPr>
          <w:rStyle w:val="FootnoteReference"/>
        </w:rPr>
        <w:footnoteRef/>
      </w:r>
      <w:r w:rsidRPr="00623F56">
        <w:rPr>
          <w:lang w:val="es-ES"/>
        </w:rPr>
        <w:tab/>
      </w:r>
      <w:r w:rsidR="00BF787D" w:rsidRPr="00F7073F">
        <w:rPr>
          <w:lang w:val="fi-FI"/>
        </w:rPr>
        <w:t>OJ L 353, 31.12.2008, p. 1, ELI: </w:t>
      </w:r>
      <w:r w:rsidR="00BF787D" w:rsidRPr="00F7073F">
        <w:fldChar w:fldCharType="begin"/>
      </w:r>
      <w:r w:rsidR="00BF787D" w:rsidRPr="00F7073F">
        <w:rPr>
          <w:lang w:val="nl-BE"/>
          <w:rPrChange w:id="0" w:author="VAN RAEMDONCK Fabienne (ENV)" w:date="2026-10-15T16:48:00Z" w16du:dateUtc="2026-10-15T14:48:00Z">
            <w:rPr/>
          </w:rPrChange>
        </w:rPr>
        <w:instrText>HYPERLINK "http://data.europa.eu/eli/reg/2008/1272/oj" \o "Gives access to this document through its ELI URI."</w:instrText>
      </w:r>
      <w:r w:rsidR="00BF787D" w:rsidRPr="00F7073F">
        <w:fldChar w:fldCharType="separate"/>
      </w:r>
      <w:r w:rsidR="00BF787D" w:rsidRPr="00F7073F">
        <w:rPr>
          <w:rStyle w:val="Hyperlink"/>
          <w:lang w:val="fi-FI"/>
        </w:rPr>
        <w:t>http://data.europa.eu/eli/reg/2008/1272/oj</w:t>
      </w:r>
      <w:r w:rsidR="00BF787D" w:rsidRPr="00F7073F">
        <w:fldChar w:fldCharType="end"/>
      </w:r>
      <w:r w:rsidR="00BF787D" w:rsidRPr="00F7073F">
        <w:rPr>
          <w:lang w:val="fi-FI"/>
        </w:rPr>
        <w:t>.</w:t>
      </w:r>
    </w:p>
  </w:footnote>
  <w:footnote w:id="2">
    <w:p w14:paraId="307F8147" w14:textId="3526323F" w:rsidR="00AE2734" w:rsidRPr="00272A71" w:rsidRDefault="00AE2734">
      <w:pPr>
        <w:pStyle w:val="FootnoteText"/>
      </w:pPr>
      <w:r w:rsidRPr="001E3F3E">
        <w:rPr>
          <w:rStyle w:val="FootnoteReference"/>
        </w:rPr>
        <w:footnoteRef/>
      </w:r>
      <w:r w:rsidRPr="00BC5501">
        <w:rPr>
          <w:lang w:val="en-IE"/>
        </w:rPr>
        <w:tab/>
      </w:r>
      <w:r w:rsidR="00C1652F" w:rsidRPr="00BC5501">
        <w:rPr>
          <w:lang w:val="en-IE"/>
        </w:rPr>
        <w:t>Regulation (EC) No 1907/2006 of the European Parliament and of the Council of 18 December 2006 concerning the Registration, Evaluation, Authorisation and Restriction of Chemicals (REACH), establishing a European Chemicals Agency, amending Directive 1999/45/EC and repealing Council Regulation (EEC) No 793/93 and Commission Regulation (EC) No 1488/94 as well as Council Directive 76/769/EEC and Commission Directives 91/155/EEC, 93/67/EEC, 93/105/EC and 2000/21/EC</w:t>
      </w:r>
      <w:r w:rsidR="0058218B">
        <w:rPr>
          <w:lang w:val="en-IE"/>
        </w:rPr>
        <w:t xml:space="preserve"> (</w:t>
      </w:r>
      <w:r w:rsidR="0058218B" w:rsidRPr="0058218B">
        <w:rPr>
          <w:lang w:val="en-IE"/>
        </w:rPr>
        <w:t>OJ L 396, 30.12.2006, p. 1, ELI: http://data.europa.eu/eli/reg/2006/1907/oj</w:t>
      </w:r>
      <w:r w:rsidR="0058218B">
        <w:rPr>
          <w:lang w:val="en-IE"/>
        </w:rPr>
        <w:t>)</w:t>
      </w:r>
      <w:r w:rsidR="0058218B" w:rsidRPr="0058218B">
        <w:rPr>
          <w:lang w:val="en-IE"/>
        </w:rPr>
        <w:t>.</w:t>
      </w:r>
    </w:p>
  </w:footnote>
  <w:footnote w:id="3">
    <w:p w14:paraId="342C57DB" w14:textId="156261D9" w:rsidR="00B0410F" w:rsidRPr="00B0410F" w:rsidRDefault="00B0410F">
      <w:pPr>
        <w:pStyle w:val="FootnoteText"/>
      </w:pPr>
      <w:r>
        <w:rPr>
          <w:rStyle w:val="FootnoteReference"/>
        </w:rPr>
        <w:footnoteRef/>
      </w:r>
      <w:r w:rsidR="00AF4990">
        <w:tab/>
      </w:r>
      <w:r w:rsidR="00AF4990" w:rsidRPr="00713FF5">
        <w:rPr>
          <w:lang w:val="en-US"/>
        </w:rPr>
        <w:t xml:space="preserve">The decisions are accessible </w:t>
      </w:r>
      <w:r w:rsidR="00AF4990" w:rsidRPr="00713FF5">
        <w:t xml:space="preserve">via the following website: </w:t>
      </w:r>
      <w:hyperlink r:id="rId1" w:history="1">
        <w:r w:rsidR="0099385A" w:rsidRPr="00713FF5">
          <w:rPr>
            <w:rStyle w:val="cf01"/>
            <w:color w:val="0000FF"/>
            <w:u w:val="single"/>
          </w:rPr>
          <w:t>Candidate List of substances of very high concern for Authorisation - ECHA</w:t>
        </w:r>
      </w:hyperlink>
    </w:p>
  </w:footnote>
  <w:footnote w:id="4">
    <w:p w14:paraId="61739D66" w14:textId="6FB16043" w:rsidR="339199E3" w:rsidRDefault="339199E3" w:rsidP="339199E3">
      <w:pPr>
        <w:pStyle w:val="FootnoteText"/>
        <w:rPr>
          <w:rFonts w:eastAsia="Calibri"/>
        </w:rPr>
      </w:pPr>
      <w:r w:rsidRPr="339199E3">
        <w:rPr>
          <w:rStyle w:val="FootnoteReference"/>
        </w:rPr>
        <w:footnoteRef/>
      </w:r>
      <w:r w:rsidR="00F7228D">
        <w:tab/>
      </w:r>
      <w:r w:rsidRPr="339199E3">
        <w:t xml:space="preserve">OJ L 311, 7.12.2018, p. 17, </w:t>
      </w:r>
      <w:r w:rsidRPr="339199E3">
        <w:rPr>
          <w:rFonts w:eastAsia="Calibri"/>
        </w:rPr>
        <w:t xml:space="preserve">ELI: </w:t>
      </w:r>
      <w:hyperlink r:id="rId2">
        <w:r w:rsidRPr="339199E3">
          <w:rPr>
            <w:rStyle w:val="Hyperlink"/>
            <w:rFonts w:eastAsia="Calibri"/>
          </w:rPr>
          <w:t>http://data.europa.eu/eli/reg_impl/2018/1914/oj</w:t>
        </w:r>
      </w:hyperlink>
    </w:p>
  </w:footnote>
  <w:footnote w:id="5">
    <w:p w14:paraId="7637A443" w14:textId="02C6CE86" w:rsidR="339199E3" w:rsidRDefault="339199E3" w:rsidP="339199E3">
      <w:pPr>
        <w:pStyle w:val="FootnoteText"/>
        <w:rPr>
          <w:rFonts w:eastAsia="Calibri"/>
        </w:rPr>
      </w:pPr>
      <w:r w:rsidRPr="339199E3">
        <w:rPr>
          <w:rStyle w:val="FootnoteReference"/>
        </w:rPr>
        <w:footnoteRef/>
      </w:r>
      <w:r w:rsidR="00F7228D">
        <w:tab/>
      </w:r>
      <w:r w:rsidRPr="339199E3">
        <w:rPr>
          <w:rFonts w:eastAsia="Calibri"/>
        </w:rPr>
        <w:t xml:space="preserve">OJ L 342, 16.10.2020, p. 5, ELI: </w:t>
      </w:r>
      <w:hyperlink r:id="rId3">
        <w:r w:rsidRPr="339199E3">
          <w:rPr>
            <w:rStyle w:val="Hyperlink"/>
            <w:rFonts w:eastAsia="Calibri"/>
          </w:rPr>
          <w:t>http://data.europa.eu/eli/reg_impl/2020/1498/oj.</w:t>
        </w:r>
      </w:hyperlink>
    </w:p>
  </w:footnote>
  <w:footnote w:id="6">
    <w:p w14:paraId="1131E96B" w14:textId="1FED989D" w:rsidR="339199E3" w:rsidRDefault="339199E3" w:rsidP="339199E3">
      <w:pPr>
        <w:pStyle w:val="FootnoteText"/>
        <w:rPr>
          <w:rFonts w:eastAsia="Calibri"/>
        </w:rPr>
      </w:pPr>
      <w:r w:rsidRPr="339199E3">
        <w:rPr>
          <w:rStyle w:val="FootnoteReference"/>
        </w:rPr>
        <w:footnoteRef/>
      </w:r>
      <w:r w:rsidR="00F7228D">
        <w:tab/>
      </w:r>
      <w:r w:rsidRPr="339199E3">
        <w:rPr>
          <w:rFonts w:eastAsia="Calibri"/>
        </w:rPr>
        <w:t xml:space="preserve">OJ L 423, 15.12.2020, p. 50, ELI: </w:t>
      </w:r>
      <w:hyperlink r:id="rId4">
        <w:r w:rsidRPr="339199E3">
          <w:rPr>
            <w:rStyle w:val="Hyperlink"/>
            <w:rFonts w:eastAsia="Calibri"/>
          </w:rPr>
          <w:t>http://data.europa.eu/eli/reg_impl/2020/2087/oj</w:t>
        </w:r>
      </w:hyperlink>
    </w:p>
  </w:footnote>
  <w:footnote w:id="7">
    <w:p w14:paraId="04330DDE" w14:textId="79047FC6" w:rsidR="339199E3" w:rsidRDefault="339199E3" w:rsidP="339199E3">
      <w:pPr>
        <w:pStyle w:val="FootnoteText"/>
        <w:rPr>
          <w:rFonts w:eastAsia="Calibri"/>
        </w:rPr>
      </w:pPr>
      <w:r w:rsidRPr="339199E3">
        <w:rPr>
          <w:rStyle w:val="FootnoteReference"/>
        </w:rPr>
        <w:footnoteRef/>
      </w:r>
      <w:r w:rsidR="00F7228D">
        <w:tab/>
      </w:r>
      <w:r w:rsidRPr="339199E3">
        <w:rPr>
          <w:rFonts w:eastAsia="Calibri"/>
        </w:rPr>
        <w:t xml:space="preserve">OJ L, 2023/2657, 23.11.2023, ELI: </w:t>
      </w:r>
      <w:hyperlink r:id="rId5">
        <w:r w:rsidRPr="339199E3">
          <w:rPr>
            <w:rStyle w:val="Hyperlink"/>
            <w:rFonts w:eastAsia="Calibri"/>
          </w:rPr>
          <w:t>http://data.europa.eu/eli/reg_impl/2023/2657/oj</w:t>
        </w:r>
      </w:hyperlink>
    </w:p>
  </w:footnote>
  <w:footnote w:id="8">
    <w:p w14:paraId="6E68E171" w14:textId="3CA6BD60" w:rsidR="339199E3" w:rsidRDefault="339199E3" w:rsidP="339199E3">
      <w:pPr>
        <w:pStyle w:val="FootnoteText"/>
        <w:rPr>
          <w:rFonts w:eastAsia="Calibri"/>
        </w:rPr>
      </w:pPr>
      <w:r w:rsidRPr="339199E3">
        <w:rPr>
          <w:rStyle w:val="FootnoteReference"/>
        </w:rPr>
        <w:footnoteRef/>
      </w:r>
      <w:r w:rsidR="00F7228D">
        <w:tab/>
      </w:r>
      <w:r w:rsidRPr="339199E3">
        <w:rPr>
          <w:rFonts w:eastAsia="Calibri"/>
        </w:rPr>
        <w:t xml:space="preserve">OJ L, 2023/2456, 8.11.2023, ELI: </w:t>
      </w:r>
      <w:hyperlink r:id="rId6">
        <w:r w:rsidRPr="339199E3">
          <w:rPr>
            <w:rStyle w:val="Hyperlink"/>
            <w:rFonts w:eastAsia="Calibri"/>
          </w:rPr>
          <w:t>http://data.europa.eu/eli/reg_impl/2023/2456/oj</w:t>
        </w:r>
      </w:hyperlink>
    </w:p>
  </w:footnote>
  <w:footnote w:id="9">
    <w:p w14:paraId="0D03FE05" w14:textId="63BBDBD2" w:rsidR="339199E3" w:rsidRDefault="339199E3" w:rsidP="339199E3">
      <w:pPr>
        <w:pStyle w:val="FootnoteText"/>
        <w:rPr>
          <w:rFonts w:eastAsia="Calibri"/>
        </w:rPr>
      </w:pPr>
      <w:r w:rsidRPr="339199E3">
        <w:rPr>
          <w:rStyle w:val="FootnoteReference"/>
        </w:rPr>
        <w:footnoteRef/>
      </w:r>
      <w:r w:rsidR="00F7228D">
        <w:tab/>
      </w:r>
      <w:r w:rsidRPr="339199E3">
        <w:rPr>
          <w:rFonts w:eastAsia="Calibri"/>
        </w:rPr>
        <w:t xml:space="preserve">OJ L, 2023/2513, 17.11.2023, ELI: </w:t>
      </w:r>
      <w:hyperlink r:id="rId7">
        <w:r w:rsidRPr="339199E3">
          <w:rPr>
            <w:rStyle w:val="Hyperlink"/>
            <w:rFonts w:eastAsia="Calibri"/>
          </w:rPr>
          <w:t>http://data.europa.eu/eli/reg_impl/2023/2513/oj</w:t>
        </w:r>
      </w:hyperlink>
    </w:p>
  </w:footnote>
  <w:footnote w:id="10">
    <w:p w14:paraId="6F603582" w14:textId="38ED0039" w:rsidR="339199E3" w:rsidRDefault="339199E3" w:rsidP="339199E3">
      <w:pPr>
        <w:pStyle w:val="FootnoteText"/>
        <w:rPr>
          <w:rFonts w:eastAsia="Calibri"/>
        </w:rPr>
      </w:pPr>
      <w:r w:rsidRPr="339199E3">
        <w:rPr>
          <w:rStyle w:val="FootnoteReference"/>
        </w:rPr>
        <w:footnoteRef/>
      </w:r>
      <w:r w:rsidR="00F7228D">
        <w:tab/>
      </w:r>
      <w:r w:rsidRPr="339199E3">
        <w:rPr>
          <w:rFonts w:eastAsia="Calibri"/>
        </w:rPr>
        <w:t xml:space="preserve">OJ L, 2024/425, 5.2.2024, ELI: </w:t>
      </w:r>
      <w:hyperlink r:id="rId8">
        <w:r w:rsidRPr="339199E3">
          <w:rPr>
            <w:rStyle w:val="Hyperlink"/>
            <w:rFonts w:eastAsia="Calibri"/>
          </w:rPr>
          <w:t>http://data.europa.eu/eli/reg_impl/2024/425/oj</w:t>
        </w:r>
      </w:hyperlink>
    </w:p>
  </w:footnote>
  <w:footnote w:id="11">
    <w:p w14:paraId="20DCEC0A" w14:textId="772E6AFD" w:rsidR="339199E3" w:rsidRDefault="339199E3" w:rsidP="339199E3">
      <w:pPr>
        <w:pStyle w:val="FootnoteText"/>
        <w:rPr>
          <w:rFonts w:eastAsia="Calibri"/>
        </w:rPr>
      </w:pPr>
      <w:r w:rsidRPr="339199E3">
        <w:rPr>
          <w:rStyle w:val="FootnoteReference"/>
        </w:rPr>
        <w:footnoteRef/>
      </w:r>
      <w:r w:rsidR="00F7228D">
        <w:tab/>
      </w:r>
      <w:r w:rsidRPr="339199E3">
        <w:rPr>
          <w:rFonts w:eastAsia="Calibri"/>
        </w:rPr>
        <w:t xml:space="preserve">OJ L, 2024/1217, 30.4.2024, ELI: </w:t>
      </w:r>
      <w:hyperlink r:id="rId9">
        <w:r w:rsidRPr="339199E3">
          <w:rPr>
            <w:rStyle w:val="Hyperlink"/>
            <w:rFonts w:eastAsia="Calibri"/>
          </w:rPr>
          <w:t>http://data.europa.eu/eli/reg_impl/2024/1217/oj</w:t>
        </w:r>
      </w:hyperlink>
    </w:p>
  </w:footnote>
  <w:footnote w:id="12">
    <w:p w14:paraId="6BB248ED" w14:textId="4ACB5569" w:rsidR="339199E3" w:rsidRDefault="339199E3" w:rsidP="339199E3">
      <w:pPr>
        <w:pStyle w:val="FootnoteText"/>
        <w:rPr>
          <w:rFonts w:eastAsia="Calibri"/>
        </w:rPr>
      </w:pPr>
      <w:r w:rsidRPr="339199E3">
        <w:rPr>
          <w:rStyle w:val="FootnoteReference"/>
        </w:rPr>
        <w:footnoteRef/>
      </w:r>
      <w:r w:rsidR="00F7228D">
        <w:tab/>
      </w:r>
      <w:r w:rsidRPr="339199E3">
        <w:rPr>
          <w:rFonts w:eastAsia="Calibri"/>
        </w:rPr>
        <w:t xml:space="preserve">OJ L, 2024/1207, 30.4.2024, ELI: </w:t>
      </w:r>
      <w:hyperlink r:id="rId10">
        <w:r w:rsidRPr="339199E3">
          <w:rPr>
            <w:rStyle w:val="Hyperlink"/>
            <w:rFonts w:eastAsia="Calibri"/>
          </w:rPr>
          <w:t>http://data.europa.eu/eli/reg_impl/2024/1207/oj</w:t>
        </w:r>
      </w:hyperlink>
    </w:p>
  </w:footnote>
  <w:footnote w:id="13">
    <w:p w14:paraId="26CAD41B" w14:textId="75986D64" w:rsidR="339199E3" w:rsidRDefault="339199E3" w:rsidP="339199E3">
      <w:pPr>
        <w:pStyle w:val="FootnoteText"/>
        <w:rPr>
          <w:rFonts w:eastAsia="Calibri"/>
        </w:rPr>
      </w:pPr>
      <w:r w:rsidRPr="339199E3">
        <w:rPr>
          <w:rStyle w:val="FootnoteReference"/>
        </w:rPr>
        <w:footnoteRef/>
      </w:r>
      <w:r w:rsidR="00F7228D">
        <w:tab/>
      </w:r>
      <w:r w:rsidRPr="339199E3">
        <w:rPr>
          <w:rFonts w:eastAsia="Calibri"/>
        </w:rPr>
        <w:t xml:space="preserve">OJ L, 2024/2806, 4.11.2024, ELI: </w:t>
      </w:r>
      <w:hyperlink r:id="rId11">
        <w:r w:rsidRPr="339199E3">
          <w:rPr>
            <w:rStyle w:val="Hyperlink"/>
            <w:rFonts w:eastAsia="Calibri"/>
          </w:rPr>
          <w:t>http://data.europa.eu/eli/reg_impl/2024/2806/oj</w:t>
        </w:r>
      </w:hyperlink>
    </w:p>
  </w:footnote>
  <w:footnote w:id="14">
    <w:p w14:paraId="6D084138" w14:textId="493112E1" w:rsidR="339199E3" w:rsidRDefault="339199E3" w:rsidP="339199E3">
      <w:pPr>
        <w:pStyle w:val="FootnoteText"/>
        <w:rPr>
          <w:rFonts w:eastAsia="Calibri"/>
        </w:rPr>
      </w:pPr>
      <w:r w:rsidRPr="339199E3">
        <w:rPr>
          <w:rStyle w:val="FootnoteReference"/>
        </w:rPr>
        <w:footnoteRef/>
      </w:r>
      <w:r w:rsidR="00F7228D">
        <w:tab/>
      </w:r>
      <w:r w:rsidRPr="339199E3">
        <w:rPr>
          <w:rFonts w:eastAsia="Calibri"/>
        </w:rPr>
        <w:t xml:space="preserve">OJ L, 2025/910, 21.5.2025, ELI: </w:t>
      </w:r>
      <w:hyperlink r:id="rId12">
        <w:r w:rsidRPr="339199E3">
          <w:rPr>
            <w:rStyle w:val="Hyperlink"/>
            <w:rFonts w:eastAsia="Calibri"/>
          </w:rPr>
          <w:t>http://data.europa.eu/eli/reg_impl/2025/910/oj</w:t>
        </w:r>
      </w:hyperlink>
    </w:p>
  </w:footnote>
  <w:footnote w:id="15">
    <w:p w14:paraId="58E4B7E6" w14:textId="7AAE1462" w:rsidR="00A00F60" w:rsidRPr="00BC5501" w:rsidRDefault="00A00F60">
      <w:pPr>
        <w:pStyle w:val="FootnoteText"/>
        <w:rPr>
          <w:lang w:val="en-IE"/>
        </w:rPr>
      </w:pPr>
      <w:r>
        <w:rPr>
          <w:rStyle w:val="FootnoteReference"/>
        </w:rPr>
        <w:footnoteRef/>
      </w:r>
      <w:r w:rsidRPr="00BC5501">
        <w:rPr>
          <w:lang w:val="en-IE"/>
        </w:rPr>
        <w:tab/>
      </w:r>
      <w:r w:rsidR="002E0A56" w:rsidRPr="00BC5501">
        <w:rPr>
          <w:lang w:val="en-IE"/>
        </w:rPr>
        <w:t xml:space="preserve">Regulation (EU) No 528/2012 of the European Parliament and of the Council of 22 May 2012 concerning the making available on the market and use of biocidal products </w:t>
      </w:r>
      <w:r w:rsidR="002E0A56">
        <w:rPr>
          <w:lang w:val="en-IE"/>
        </w:rPr>
        <w:t>(</w:t>
      </w:r>
      <w:r w:rsidR="002E0A56" w:rsidRPr="002E0A56">
        <w:rPr>
          <w:lang w:val="en-IE"/>
        </w:rPr>
        <w:t>OJ L 167, 27.6.2012, p. 1</w:t>
      </w:r>
      <w:r w:rsidR="008601E3">
        <w:rPr>
          <w:lang w:val="en-IE"/>
        </w:rPr>
        <w:t xml:space="preserve">, </w:t>
      </w:r>
      <w:r w:rsidR="008601E3" w:rsidRPr="008601E3">
        <w:rPr>
          <w:lang w:val="en-IE"/>
        </w:rPr>
        <w:t>ELI: http://data.europa.eu/eli/reg/2012/528/o</w:t>
      </w:r>
      <w:r w:rsidR="008601E3">
        <w:rPr>
          <w:lang w:val="en-IE"/>
        </w:rPr>
        <w:t>j).</w:t>
      </w:r>
    </w:p>
  </w:footnote>
  <w:footnote w:id="16">
    <w:p w14:paraId="62C47796" w14:textId="4FE8C2B9" w:rsidR="339199E3" w:rsidRDefault="339199E3" w:rsidP="339199E3">
      <w:pPr>
        <w:pStyle w:val="FootnoteText"/>
        <w:rPr>
          <w:rFonts w:eastAsia="Calibri"/>
        </w:rPr>
      </w:pPr>
      <w:r w:rsidRPr="339199E3">
        <w:rPr>
          <w:rStyle w:val="FootnoteReference"/>
        </w:rPr>
        <w:footnoteRef/>
      </w:r>
      <w:r w:rsidR="00F7228D">
        <w:tab/>
      </w:r>
      <w:r w:rsidRPr="339199E3">
        <w:rPr>
          <w:rFonts w:eastAsia="Calibri"/>
        </w:rPr>
        <w:t xml:space="preserve">OJ L 289, 5.11.2015, p. 13, ELI: </w:t>
      </w:r>
      <w:hyperlink r:id="rId13">
        <w:r w:rsidRPr="339199E3">
          <w:rPr>
            <w:rStyle w:val="Hyperlink"/>
            <w:rFonts w:eastAsia="Calibri"/>
          </w:rPr>
          <w:t>http://data.europa.eu/eli/reg_impl/2015/1982/oj</w:t>
        </w:r>
      </w:hyperlink>
    </w:p>
  </w:footnote>
  <w:footnote w:id="17">
    <w:p w14:paraId="018C5168" w14:textId="432E07BB" w:rsidR="339199E3" w:rsidRDefault="339199E3" w:rsidP="00F7228D">
      <w:pPr>
        <w:pStyle w:val="FootnoteText"/>
        <w:rPr>
          <w:rFonts w:eastAsia="Calibri"/>
        </w:rPr>
      </w:pPr>
      <w:r w:rsidRPr="339199E3">
        <w:rPr>
          <w:rStyle w:val="FootnoteReference"/>
        </w:rPr>
        <w:footnoteRef/>
      </w:r>
      <w:r w:rsidR="00F7228D">
        <w:rPr>
          <w:rFonts w:eastAsia="Calibri"/>
        </w:rPr>
        <w:tab/>
      </w:r>
      <w:r w:rsidRPr="339199E3">
        <w:rPr>
          <w:rFonts w:eastAsia="Calibri"/>
        </w:rPr>
        <w:t xml:space="preserve">OJ L 194, 26.7.2017, p. 39, ELI: </w:t>
      </w:r>
      <w:hyperlink r:id="rId14">
        <w:r w:rsidRPr="339199E3">
          <w:rPr>
            <w:rStyle w:val="Hyperlink"/>
            <w:rFonts w:eastAsia="Calibri"/>
          </w:rPr>
          <w:t>http://data.europa.eu/eli/reg_impl/2017/1381/oj</w:t>
        </w:r>
      </w:hyperlink>
    </w:p>
  </w:footnote>
  <w:footnote w:id="18">
    <w:p w14:paraId="21712A70" w14:textId="57EB7C88" w:rsidR="339199E3" w:rsidRDefault="339199E3" w:rsidP="00F7228D">
      <w:pPr>
        <w:pStyle w:val="FootnoteText"/>
        <w:rPr>
          <w:rFonts w:eastAsia="Calibri"/>
        </w:rPr>
      </w:pPr>
      <w:r w:rsidRPr="339199E3">
        <w:rPr>
          <w:rStyle w:val="FootnoteReference"/>
        </w:rPr>
        <w:footnoteRef/>
      </w:r>
      <w:r w:rsidR="00F7228D">
        <w:rPr>
          <w:rFonts w:eastAsia="Calibri"/>
        </w:rPr>
        <w:tab/>
      </w:r>
      <w:r w:rsidRPr="339199E3">
        <w:rPr>
          <w:rFonts w:eastAsia="Calibri"/>
        </w:rPr>
        <w:t xml:space="preserve">OJ L 194, 26.7.2017, p. 33, ELI: </w:t>
      </w:r>
      <w:hyperlink r:id="rId15">
        <w:r w:rsidRPr="339199E3">
          <w:rPr>
            <w:rStyle w:val="Hyperlink"/>
            <w:rFonts w:eastAsia="Calibri"/>
          </w:rPr>
          <w:t>http://data.europa.eu/eli/reg_impl/2017/1380/oj</w:t>
        </w:r>
      </w:hyperlink>
    </w:p>
  </w:footnote>
  <w:footnote w:id="19">
    <w:p w14:paraId="1E22D2C1" w14:textId="001540F5" w:rsidR="339199E3" w:rsidRDefault="339199E3" w:rsidP="339199E3">
      <w:pPr>
        <w:pStyle w:val="FootnoteText"/>
        <w:rPr>
          <w:rFonts w:eastAsia="Calibri"/>
        </w:rPr>
      </w:pPr>
      <w:r w:rsidRPr="339199E3">
        <w:rPr>
          <w:rStyle w:val="FootnoteReference"/>
        </w:rPr>
        <w:footnoteRef/>
      </w:r>
      <w:r w:rsidR="00F7228D">
        <w:tab/>
      </w:r>
      <w:r w:rsidRPr="339199E3">
        <w:rPr>
          <w:rFonts w:eastAsia="Calibri"/>
        </w:rPr>
        <w:t xml:space="preserve">OJ L 194, 26.7.2017, p. 27, ELI: </w:t>
      </w:r>
      <w:hyperlink r:id="rId16">
        <w:r w:rsidRPr="339199E3">
          <w:rPr>
            <w:rStyle w:val="Hyperlink"/>
            <w:rFonts w:eastAsia="Calibri"/>
          </w:rPr>
          <w:t>http://data.europa.eu/eli/reg_impl/2017/1379/oj</w:t>
        </w:r>
      </w:hyperlink>
    </w:p>
  </w:footnote>
  <w:footnote w:id="20">
    <w:p w14:paraId="368BCDDB" w14:textId="4A69986C" w:rsidR="339199E3" w:rsidRDefault="339199E3" w:rsidP="339199E3">
      <w:pPr>
        <w:pStyle w:val="FootnoteText"/>
        <w:rPr>
          <w:rFonts w:eastAsia="Calibri"/>
        </w:rPr>
      </w:pPr>
      <w:r w:rsidRPr="339199E3">
        <w:rPr>
          <w:rStyle w:val="FootnoteReference"/>
        </w:rPr>
        <w:footnoteRef/>
      </w:r>
      <w:r w:rsidR="00F7228D">
        <w:tab/>
      </w:r>
      <w:r w:rsidRPr="339199E3">
        <w:rPr>
          <w:rFonts w:eastAsia="Calibri"/>
        </w:rPr>
        <w:t xml:space="preserve">OJ L 194, 26.7.2017, p. 45, ELI: </w:t>
      </w:r>
      <w:hyperlink r:id="rId17">
        <w:r w:rsidRPr="339199E3">
          <w:rPr>
            <w:rStyle w:val="Hyperlink"/>
            <w:rFonts w:eastAsia="Calibri"/>
          </w:rPr>
          <w:t>http://data.europa.eu/eli/reg_impl/2017/1382/oj</w:t>
        </w:r>
      </w:hyperlink>
    </w:p>
  </w:footnote>
  <w:footnote w:id="21">
    <w:p w14:paraId="1CA6C413" w14:textId="50094186" w:rsidR="339199E3" w:rsidRDefault="339199E3" w:rsidP="339199E3">
      <w:pPr>
        <w:pStyle w:val="FootnoteText"/>
        <w:rPr>
          <w:rFonts w:eastAsia="Calibri"/>
        </w:rPr>
      </w:pPr>
      <w:r w:rsidRPr="339199E3">
        <w:rPr>
          <w:rStyle w:val="FootnoteReference"/>
        </w:rPr>
        <w:footnoteRef/>
      </w:r>
      <w:r w:rsidR="00F7228D">
        <w:tab/>
      </w:r>
      <w:r w:rsidRPr="339199E3">
        <w:rPr>
          <w:rFonts w:eastAsia="Calibri"/>
        </w:rPr>
        <w:t xml:space="preserve">OJ L 194, 26.7.2017, p. 51, ELI: </w:t>
      </w:r>
      <w:hyperlink r:id="rId18">
        <w:r w:rsidRPr="339199E3">
          <w:rPr>
            <w:rStyle w:val="Hyperlink"/>
            <w:rFonts w:eastAsia="Calibri"/>
          </w:rPr>
          <w:t>http://data.europa.eu/eli/reg_impl/2017/1383/oj</w:t>
        </w:r>
      </w:hyperlink>
    </w:p>
  </w:footnote>
  <w:footnote w:id="22">
    <w:p w14:paraId="53B27044" w14:textId="0E239470" w:rsidR="339199E3" w:rsidRDefault="339199E3" w:rsidP="339199E3">
      <w:pPr>
        <w:pStyle w:val="FootnoteText"/>
        <w:rPr>
          <w:rFonts w:eastAsia="Calibri"/>
        </w:rPr>
      </w:pPr>
      <w:r w:rsidRPr="339199E3">
        <w:rPr>
          <w:rStyle w:val="FootnoteReference"/>
        </w:rPr>
        <w:footnoteRef/>
      </w:r>
      <w:r w:rsidR="00F7228D">
        <w:tab/>
      </w:r>
      <w:r w:rsidRPr="339199E3">
        <w:rPr>
          <w:rFonts w:eastAsia="Calibri"/>
        </w:rPr>
        <w:t xml:space="preserve">OJ L 109, 24.4.2019, p. 13, ELI: </w:t>
      </w:r>
      <w:hyperlink r:id="rId19">
        <w:r w:rsidRPr="339199E3">
          <w:rPr>
            <w:rStyle w:val="Hyperlink"/>
            <w:rFonts w:eastAsia="Calibri"/>
          </w:rPr>
          <w:t>http://data.europa.eu/eli/reg_impl/2019/637/oj</w:t>
        </w:r>
      </w:hyperlink>
    </w:p>
  </w:footnote>
  <w:footnote w:id="23">
    <w:p w14:paraId="6F304F76" w14:textId="06024F9A" w:rsidR="339199E3" w:rsidRDefault="339199E3" w:rsidP="339199E3">
      <w:pPr>
        <w:pStyle w:val="FootnoteText"/>
        <w:rPr>
          <w:rFonts w:eastAsia="Calibri"/>
        </w:rPr>
      </w:pPr>
      <w:r w:rsidRPr="339199E3">
        <w:rPr>
          <w:rStyle w:val="FootnoteReference"/>
        </w:rPr>
        <w:footnoteRef/>
      </w:r>
      <w:r w:rsidR="00F7228D">
        <w:tab/>
      </w:r>
      <w:r w:rsidRPr="339199E3">
        <w:rPr>
          <w:rFonts w:eastAsia="Calibri"/>
        </w:rPr>
        <w:t xml:space="preserve">OJ L 269, 17.10.2022, p. 1, ELI: </w:t>
      </w:r>
      <w:hyperlink r:id="rId20">
        <w:r w:rsidRPr="339199E3">
          <w:rPr>
            <w:rStyle w:val="Hyperlink"/>
            <w:rFonts w:eastAsia="Calibri"/>
          </w:rPr>
          <w:t>http://data.europa.eu/eli/reg_impl/2022/1950/oj</w:t>
        </w:r>
      </w:hyperlink>
    </w:p>
  </w:footnote>
  <w:footnote w:id="24">
    <w:p w14:paraId="137AC28A" w14:textId="21B4824A" w:rsidR="339199E3" w:rsidRDefault="339199E3" w:rsidP="339199E3">
      <w:pPr>
        <w:pStyle w:val="FootnoteText"/>
        <w:rPr>
          <w:rFonts w:eastAsia="Calibri"/>
        </w:rPr>
      </w:pPr>
      <w:r w:rsidRPr="339199E3">
        <w:rPr>
          <w:rStyle w:val="FootnoteReference"/>
        </w:rPr>
        <w:footnoteRef/>
      </w:r>
      <w:r w:rsidR="00F7228D">
        <w:tab/>
      </w:r>
      <w:r w:rsidRPr="339199E3">
        <w:rPr>
          <w:rFonts w:eastAsia="Calibri"/>
        </w:rPr>
        <w:t xml:space="preserve">OJ L 67, 3.3.2023, p. 54, ELI: </w:t>
      </w:r>
      <w:hyperlink r:id="rId21">
        <w:r w:rsidRPr="339199E3">
          <w:rPr>
            <w:rStyle w:val="Hyperlink"/>
            <w:rFonts w:eastAsia="Calibri"/>
          </w:rPr>
          <w:t>http://data.europa.eu/eli/dec_impl/2023/459/oj</w:t>
        </w:r>
      </w:hyperlink>
    </w:p>
  </w:footnote>
  <w:footnote w:id="25">
    <w:p w14:paraId="6A4DE6FB" w14:textId="24F72554" w:rsidR="339199E3" w:rsidRDefault="339199E3" w:rsidP="339199E3">
      <w:pPr>
        <w:pStyle w:val="FootnoteText"/>
        <w:rPr>
          <w:rFonts w:eastAsia="Calibri"/>
        </w:rPr>
      </w:pPr>
      <w:r w:rsidRPr="339199E3">
        <w:rPr>
          <w:rStyle w:val="FootnoteReference"/>
        </w:rPr>
        <w:footnoteRef/>
      </w:r>
      <w:r w:rsidR="00F7228D">
        <w:tab/>
      </w:r>
      <w:r w:rsidRPr="339199E3">
        <w:rPr>
          <w:rFonts w:eastAsia="Calibri"/>
        </w:rPr>
        <w:t xml:space="preserve">OJ L 146, 6.6.2023, p. 27, ELI: </w:t>
      </w:r>
      <w:hyperlink r:id="rId22">
        <w:r w:rsidRPr="339199E3">
          <w:rPr>
            <w:rStyle w:val="Hyperlink"/>
            <w:rFonts w:eastAsia="Calibri"/>
          </w:rPr>
          <w:t>http://data.europa.eu/eli/dec_impl/2023/1097/oj</w:t>
        </w:r>
      </w:hyperlink>
      <w:r w:rsidRPr="339199E3">
        <w:rPr>
          <w:rFonts w:eastAsia="Calibri"/>
        </w:rPr>
        <w:t>)</w:t>
      </w:r>
    </w:p>
  </w:footnote>
  <w:footnote w:id="26">
    <w:p w14:paraId="1D41502F" w14:textId="16144E2B" w:rsidR="339199E3" w:rsidRDefault="339199E3" w:rsidP="339199E3">
      <w:pPr>
        <w:pStyle w:val="FootnoteText"/>
        <w:rPr>
          <w:rFonts w:eastAsia="Calibri"/>
        </w:rPr>
      </w:pPr>
      <w:r w:rsidRPr="339199E3">
        <w:rPr>
          <w:rStyle w:val="FootnoteReference"/>
        </w:rPr>
        <w:footnoteRef/>
      </w:r>
      <w:r w:rsidR="001E3F3E">
        <w:tab/>
      </w:r>
      <w:r w:rsidRPr="339199E3">
        <w:rPr>
          <w:rFonts w:eastAsia="Calibri"/>
        </w:rPr>
        <w:t xml:space="preserve">OJ L, 2023/2596, 22.11.2023, ELI: </w:t>
      </w:r>
      <w:hyperlink r:id="rId23">
        <w:r w:rsidRPr="339199E3">
          <w:rPr>
            <w:rStyle w:val="Hyperlink"/>
            <w:rFonts w:eastAsia="Calibri"/>
          </w:rPr>
          <w:t>http://data.europa.eu/eli/reg_impl/2023/2596/oj</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4D8C9C" w14:textId="047A29D8" w:rsidR="00B70E85" w:rsidRPr="00B70E85" w:rsidRDefault="00B70E85" w:rsidP="00B70E85">
    <w:pPr>
      <w:pStyle w:val="Header"/>
    </w:pPr>
    <w:r>
      <w:rPr>
        <w:noProof/>
      </w:rPr>
      <w:pict w14:anchorId="5DA3F5E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left:0;text-align:left;margin-left:0;margin-top:0;width:3pt;height:1.2pt;z-index:251659264">
          <v:fill r:id="rId1" o:title=""/>
          <v:stroke r:id="rId1" o:title=""/>
          <v:shadow color="#868686"/>
          <v:textpath style="font-family:&quot;Arial&quot;;font-size:1pt;v-text-kern:t" trim="t" fitpath="t" string="DRAFT"/>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16634514"/>
      <w:lock w:val="sdtContentLocked"/>
      <w:placeholder>
        <w:docPart w:val="DefaultPlaceholder_-1854013440"/>
      </w:placeholder>
      <w:group/>
    </w:sdtPr>
    <w:sdtContent>
      <w:p w14:paraId="09ED93B5" w14:textId="1879ACA9" w:rsidR="00B70E85" w:rsidRPr="00B70E85" w:rsidRDefault="00B70E85" w:rsidP="00B70E85">
        <w:pPr>
          <w:pStyle w:val="Header"/>
        </w:pPr>
        <w:r>
          <w:rPr>
            <w:noProof/>
          </w:rPr>
          <w:pict w14:anchorId="6719992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Draft_LW" o:spid="_x0000_s1025" type="#_x0000_t136" style="position:absolute;left:0;text-align:left;margin-left:0;margin-top:0;width:402.5pt;height:175.75pt;rotation:315;z-index:251658240;mso-position-horizontal:center;mso-position-horizontal-relative:margin;mso-position-vertical:center;mso-position-vertical-relative:margin" fillcolor="silver" stroked="f">
              <v:fill opacity=".5"/>
              <v:stroke r:id="rId1" o:title=""/>
              <v:shadow color="#868686"/>
              <v:textpath style="font-family:&quot;Arial&quot;;font-size:1pt;v-text-kern:t" trim="t" fitpath="t" string="DRAFT"/>
              <o:lock v:ext="edit" aspectratio="t"/>
              <w10:wrap side="largest"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0BD0D5" w14:textId="77777777" w:rsidR="00B70E85" w:rsidRPr="00B70E85" w:rsidRDefault="00B70E85" w:rsidP="00B70E8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E08AD" w14:textId="77777777" w:rsidR="008C42CC" w:rsidRDefault="008C42C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EC6945" w14:textId="77777777" w:rsidR="008C42CC" w:rsidRDefault="008C42C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A5543B48"/>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114E5908"/>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596CEECE"/>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C42C83AC"/>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16cid:durableId="491870883">
    <w:abstractNumId w:val="3"/>
  </w:num>
  <w:num w:numId="2" w16cid:durableId="1582133396">
    <w:abstractNumId w:val="2"/>
  </w:num>
  <w:num w:numId="3" w16cid:durableId="42485053">
    <w:abstractNumId w:val="1"/>
  </w:num>
  <w:num w:numId="4" w16cid:durableId="588539328">
    <w:abstractNumId w:val="0"/>
  </w:num>
  <w:num w:numId="5" w16cid:durableId="1239709409">
    <w:abstractNumId w:val="8"/>
    <w:lvlOverride w:ilvl="0">
      <w:startOverride w:val="1"/>
    </w:lvlOverride>
  </w:num>
  <w:num w:numId="6" w16cid:durableId="2089693441">
    <w:abstractNumId w:val="15"/>
  </w:num>
  <w:num w:numId="7" w16cid:durableId="1693998065">
    <w:abstractNumId w:val="8"/>
  </w:num>
  <w:num w:numId="8" w16cid:durableId="788817884">
    <w:abstractNumId w:val="17"/>
  </w:num>
  <w:num w:numId="9" w16cid:durableId="1535464848">
    <w:abstractNumId w:val="7"/>
  </w:num>
  <w:num w:numId="10" w16cid:durableId="639657071">
    <w:abstractNumId w:val="9"/>
  </w:num>
  <w:num w:numId="11" w16cid:durableId="361050661">
    <w:abstractNumId w:val="10"/>
  </w:num>
  <w:num w:numId="12" w16cid:durableId="472790552">
    <w:abstractNumId w:val="5"/>
  </w:num>
  <w:num w:numId="13" w16cid:durableId="384646725">
    <w:abstractNumId w:val="16"/>
  </w:num>
  <w:num w:numId="14" w16cid:durableId="2031682509">
    <w:abstractNumId w:val="4"/>
  </w:num>
  <w:num w:numId="15" w16cid:durableId="150604668">
    <w:abstractNumId w:val="11"/>
  </w:num>
  <w:num w:numId="16" w16cid:durableId="472332852">
    <w:abstractNumId w:val="13"/>
  </w:num>
  <w:num w:numId="17" w16cid:durableId="1298296966">
    <w:abstractNumId w:val="14"/>
  </w:num>
  <w:num w:numId="18" w16cid:durableId="1306230484">
    <w:abstractNumId w:val="6"/>
  </w:num>
  <w:num w:numId="19" w16cid:durableId="24066917">
    <w:abstractNumId w:val="12"/>
  </w:num>
  <w:num w:numId="20" w16cid:durableId="485436588">
    <w:abstractNumId w:val="18"/>
  </w:num>
  <w:num w:numId="21" w16cid:durableId="1960989003">
    <w:abstractNumId w:val="18"/>
    <w:lvlOverride w:ilvl="0">
      <w:startOverride w:val="1"/>
    </w:lvlOverride>
  </w:num>
  <w:num w:numId="22" w16cid:durableId="2089693441">
    <w:abstractNumId w:val="15"/>
  </w:num>
  <w:num w:numId="23" w16cid:durableId="1693998065">
    <w:abstractNumId w:val="8"/>
  </w:num>
  <w:num w:numId="24" w16cid:durableId="788817884">
    <w:abstractNumId w:val="17"/>
  </w:num>
  <w:num w:numId="25" w16cid:durableId="1535464848">
    <w:abstractNumId w:val="7"/>
  </w:num>
  <w:num w:numId="26" w16cid:durableId="639657071">
    <w:abstractNumId w:val="9"/>
  </w:num>
  <w:num w:numId="27" w16cid:durableId="361050661">
    <w:abstractNumId w:val="10"/>
  </w:num>
  <w:num w:numId="28" w16cid:durableId="472790552">
    <w:abstractNumId w:val="5"/>
  </w:num>
  <w:num w:numId="29" w16cid:durableId="384646725">
    <w:abstractNumId w:val="16"/>
  </w:num>
  <w:num w:numId="30" w16cid:durableId="2031682509">
    <w:abstractNumId w:val="4"/>
  </w:num>
  <w:num w:numId="31" w16cid:durableId="150604668">
    <w:abstractNumId w:val="11"/>
  </w:num>
  <w:num w:numId="32" w16cid:durableId="472332852">
    <w:abstractNumId w:val="13"/>
  </w:num>
  <w:num w:numId="33" w16cid:durableId="1298296966">
    <w:abstractNumId w:val="14"/>
  </w:num>
  <w:num w:numId="34" w16cid:durableId="1306230484">
    <w:abstractNumId w:val="6"/>
  </w:num>
  <w:num w:numId="35" w16cid:durableId="24066917">
    <w:abstractNumId w:val="12"/>
  </w:num>
  <w:num w:numId="36" w16cid:durableId="485436588">
    <w:abstractNumId w:val="18"/>
  </w:num>
  <w:numIdMacAtCleanup w:val="2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VAN RAEMDONCK Fabienne (ENV)">
    <w15:presenceInfo w15:providerId="AD" w15:userId="S::Fabienne.VAN-RAEMDONCK@ec.europa.eu::d0dbd759-64fa-4982-9c83-5db43108726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docVars>
    <w:docVar w:name="CR_RefLast" w:val="0"/>
    <w:docVar w:name="DQCDateTime" w:val="2026-10-19 16:59:05"/>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Yellow"/>
    <w:docVar w:name="DQCVersion" w:val="3"/>
    <w:docVar w:name="DQCWithWarnings" w:val="0"/>
    <w:docVar w:name="LW_CORRIGENDUM" w:val="&lt;UNUSED&gt;"/>
    <w:docVar w:name="LW_COVERPAGE_EXISTS" w:val="True"/>
    <w:docVar w:name="LW_COVERPAGE_GUID" w:val="8FE6A2D7-0547-4ED5-B93A-A0CBC631AA17"/>
    <w:docVar w:name="LW_COVERPAGE_TYPE" w:val="2"/>
    <w:docVar w:name="LW_CreatedUtc" w:val="2026-04-02T09:22:36.4295072Z"/>
    <w:docVar w:name="LW_CROSSREFERENCE" w:val="&lt;UNUSED&gt;"/>
    <w:docVar w:name="LW_DATE.ADOPT.CP" w:val="of XXX"/>
    <w:docVar w:name="LW_DATE.ADOPT.CP_DATEFORMAT" w:val="of %DATE%"/>
    <w:docVar w:name="LW_DATE.ADOPT.CP_ISODATE" w:val="&lt;EMPTY&gt;"/>
    <w:docVar w:name="LW_DocType" w:val="COM"/>
    <w:docVar w:name="LW_EMISSION" w:val="&lt;EMPTY&gt;"/>
    <w:docVar w:name="LW_EMISSION_ISODATE" w:val="&lt;EMPTY&gt;"/>
    <w:docVar w:name="LW_EMISSION_LOCATION" w:val="BRX"/>
    <w:docVar w:name="LW_EMISSION_PREFIX" w:val="Brussels, "/>
    <w:docVar w:name="LW_EMISSION_SUFFIX" w:val=" "/>
    <w:docVar w:name="LW_ID_DOCMODEL" w:val="SJ-003"/>
    <w:docVar w:name="LW_ID_DOCSIGNATURE" w:val="SJ-003"/>
    <w:docVar w:name="LW_ID_DOCSTRUCTURE" w:val="COM/AA"/>
    <w:docVar w:name="LW_ID_DOCTYPE" w:val="SJ-003"/>
    <w:docVar w:name="LW_INSERT_EXP.MOTIFS.NEW" w:val="1"/>
    <w:docVar w:name="LW_INTERETEEE.CP" w:val="(Text with EEA relevance)"/>
    <w:docVar w:name="LW_LANGUE" w:val="EN"/>
    <w:docVar w:name="LW_LANGUESFAISANTFOI.CP" w:val="&lt;UNUSED&gt;"/>
    <w:docVar w:name="LW_LEVEL_OF_SENSITIVITY" w:val="Standard treatment"/>
    <w:docVar w:name="LW_NOM.INST" w:val="EUROPEAN COMMISSION"/>
    <w:docVar w:name="LW_NOM.INST_JOINTDOC" w:val="&lt;EMPTY&gt;"/>
    <w:docVar w:name="LW_PART_NBR" w:val="1"/>
    <w:docVar w:name="LW_PART_NBR_TOTAL" w:val="1"/>
    <w:docVar w:name="LW_REF.INST.NEW" w:val="&lt;EMPTY&gt;"/>
    <w:docVar w:name="LW_REF.INST.NEW_ADOPTED" w:val="draft"/>
    <w:docVar w:name="LW_REF.INST.NEW_TEXT" w:val="(2026) XXX"/>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amending Regulation (EC) No 1272/2008 of the European Parliament and of the Council as regards the harmonised classification and labelling of certain substances"/>
    <w:docVar w:name="LW_TYPE.DOC.CP" w:val="COMMISSION DELEGATED REGULATION (EU) \u8230?/..."/>
  </w:docVars>
  <w:rsids>
    <w:rsidRoot w:val="008C42CC"/>
    <w:rsid w:val="0000137E"/>
    <w:rsid w:val="00003E2B"/>
    <w:rsid w:val="00010045"/>
    <w:rsid w:val="00013019"/>
    <w:rsid w:val="00013C03"/>
    <w:rsid w:val="0001534D"/>
    <w:rsid w:val="00016F05"/>
    <w:rsid w:val="0002050A"/>
    <w:rsid w:val="00023B03"/>
    <w:rsid w:val="00030DE3"/>
    <w:rsid w:val="00033FD1"/>
    <w:rsid w:val="00035C39"/>
    <w:rsid w:val="000364B7"/>
    <w:rsid w:val="00042B81"/>
    <w:rsid w:val="00042F90"/>
    <w:rsid w:val="00051F57"/>
    <w:rsid w:val="000521A4"/>
    <w:rsid w:val="00055403"/>
    <w:rsid w:val="00055DFF"/>
    <w:rsid w:val="00057317"/>
    <w:rsid w:val="00070768"/>
    <w:rsid w:val="00074941"/>
    <w:rsid w:val="000755A5"/>
    <w:rsid w:val="00075698"/>
    <w:rsid w:val="000765C3"/>
    <w:rsid w:val="00093E78"/>
    <w:rsid w:val="000968D4"/>
    <w:rsid w:val="000A1E46"/>
    <w:rsid w:val="000A2166"/>
    <w:rsid w:val="000B0739"/>
    <w:rsid w:val="000C3186"/>
    <w:rsid w:val="000D4D1F"/>
    <w:rsid w:val="000D4E03"/>
    <w:rsid w:val="000E17ED"/>
    <w:rsid w:val="000E3CAD"/>
    <w:rsid w:val="000E4593"/>
    <w:rsid w:val="00100E49"/>
    <w:rsid w:val="0010555F"/>
    <w:rsid w:val="00106283"/>
    <w:rsid w:val="001065F5"/>
    <w:rsid w:val="001072F5"/>
    <w:rsid w:val="00107AD6"/>
    <w:rsid w:val="00107B86"/>
    <w:rsid w:val="00121B08"/>
    <w:rsid w:val="001238EF"/>
    <w:rsid w:val="00126676"/>
    <w:rsid w:val="00126C7C"/>
    <w:rsid w:val="0013340B"/>
    <w:rsid w:val="001359E4"/>
    <w:rsid w:val="00141FA2"/>
    <w:rsid w:val="0014417E"/>
    <w:rsid w:val="00147F4F"/>
    <w:rsid w:val="001520E3"/>
    <w:rsid w:val="001602E2"/>
    <w:rsid w:val="00161846"/>
    <w:rsid w:val="00162A8D"/>
    <w:rsid w:val="00162D99"/>
    <w:rsid w:val="00164B8C"/>
    <w:rsid w:val="00167802"/>
    <w:rsid w:val="00180109"/>
    <w:rsid w:val="00180ABE"/>
    <w:rsid w:val="00181DB9"/>
    <w:rsid w:val="00187672"/>
    <w:rsid w:val="00190E3C"/>
    <w:rsid w:val="00197026"/>
    <w:rsid w:val="00197613"/>
    <w:rsid w:val="001A193B"/>
    <w:rsid w:val="001A1D7F"/>
    <w:rsid w:val="001A2B05"/>
    <w:rsid w:val="001A2C70"/>
    <w:rsid w:val="001B6A4F"/>
    <w:rsid w:val="001C3AAA"/>
    <w:rsid w:val="001D061D"/>
    <w:rsid w:val="001D0EEA"/>
    <w:rsid w:val="001D18B0"/>
    <w:rsid w:val="001D5A8F"/>
    <w:rsid w:val="001D6C96"/>
    <w:rsid w:val="001D7175"/>
    <w:rsid w:val="001E37BC"/>
    <w:rsid w:val="001E3F3E"/>
    <w:rsid w:val="001F06CE"/>
    <w:rsid w:val="001F1051"/>
    <w:rsid w:val="001F2BB2"/>
    <w:rsid w:val="001F3BB7"/>
    <w:rsid w:val="001F46D7"/>
    <w:rsid w:val="001F611D"/>
    <w:rsid w:val="002058D0"/>
    <w:rsid w:val="00207C7A"/>
    <w:rsid w:val="00214F2E"/>
    <w:rsid w:val="00216310"/>
    <w:rsid w:val="00216594"/>
    <w:rsid w:val="00217285"/>
    <w:rsid w:val="002178A9"/>
    <w:rsid w:val="002200B8"/>
    <w:rsid w:val="00221F85"/>
    <w:rsid w:val="0022458A"/>
    <w:rsid w:val="002247C9"/>
    <w:rsid w:val="00233CC4"/>
    <w:rsid w:val="00233DC7"/>
    <w:rsid w:val="0023729C"/>
    <w:rsid w:val="0024451C"/>
    <w:rsid w:val="00247779"/>
    <w:rsid w:val="002523A3"/>
    <w:rsid w:val="002617F4"/>
    <w:rsid w:val="002713D6"/>
    <w:rsid w:val="00272A5A"/>
    <w:rsid w:val="00272A71"/>
    <w:rsid w:val="002734A4"/>
    <w:rsid w:val="00274C7D"/>
    <w:rsid w:val="00280202"/>
    <w:rsid w:val="0028552E"/>
    <w:rsid w:val="00285BEE"/>
    <w:rsid w:val="0029107D"/>
    <w:rsid w:val="00293639"/>
    <w:rsid w:val="002949E9"/>
    <w:rsid w:val="0029533F"/>
    <w:rsid w:val="00296456"/>
    <w:rsid w:val="002A122B"/>
    <w:rsid w:val="002A23F1"/>
    <w:rsid w:val="002A3B86"/>
    <w:rsid w:val="002B1BE1"/>
    <w:rsid w:val="002B20C0"/>
    <w:rsid w:val="002B30AF"/>
    <w:rsid w:val="002B3D08"/>
    <w:rsid w:val="002C36FB"/>
    <w:rsid w:val="002C5C41"/>
    <w:rsid w:val="002C5D8E"/>
    <w:rsid w:val="002C676B"/>
    <w:rsid w:val="002C7411"/>
    <w:rsid w:val="002C79BD"/>
    <w:rsid w:val="002D084B"/>
    <w:rsid w:val="002D22F7"/>
    <w:rsid w:val="002D7E10"/>
    <w:rsid w:val="002E0496"/>
    <w:rsid w:val="002E0A56"/>
    <w:rsid w:val="002E714D"/>
    <w:rsid w:val="002E7979"/>
    <w:rsid w:val="002F07FB"/>
    <w:rsid w:val="00302456"/>
    <w:rsid w:val="00303008"/>
    <w:rsid w:val="003045A6"/>
    <w:rsid w:val="0030489F"/>
    <w:rsid w:val="00305262"/>
    <w:rsid w:val="00311E36"/>
    <w:rsid w:val="003225AE"/>
    <w:rsid w:val="003236EB"/>
    <w:rsid w:val="00323CF3"/>
    <w:rsid w:val="00327029"/>
    <w:rsid w:val="00332E98"/>
    <w:rsid w:val="0033344A"/>
    <w:rsid w:val="003353B2"/>
    <w:rsid w:val="00335930"/>
    <w:rsid w:val="00336C29"/>
    <w:rsid w:val="00352DFA"/>
    <w:rsid w:val="003530F2"/>
    <w:rsid w:val="003545F4"/>
    <w:rsid w:val="0035550A"/>
    <w:rsid w:val="00363F4C"/>
    <w:rsid w:val="00364E77"/>
    <w:rsid w:val="0037107F"/>
    <w:rsid w:val="00375DE2"/>
    <w:rsid w:val="00380DEA"/>
    <w:rsid w:val="00386E7A"/>
    <w:rsid w:val="00391C46"/>
    <w:rsid w:val="003956B3"/>
    <w:rsid w:val="003A19DA"/>
    <w:rsid w:val="003A7D3B"/>
    <w:rsid w:val="003B2CEC"/>
    <w:rsid w:val="003B3B59"/>
    <w:rsid w:val="003C4FC2"/>
    <w:rsid w:val="003C6F11"/>
    <w:rsid w:val="003D0978"/>
    <w:rsid w:val="003D3FDE"/>
    <w:rsid w:val="003D725D"/>
    <w:rsid w:val="003E14E7"/>
    <w:rsid w:val="003E530E"/>
    <w:rsid w:val="003F4DC8"/>
    <w:rsid w:val="0040093A"/>
    <w:rsid w:val="004053E6"/>
    <w:rsid w:val="0041000F"/>
    <w:rsid w:val="00420183"/>
    <w:rsid w:val="00424849"/>
    <w:rsid w:val="00424A34"/>
    <w:rsid w:val="0042648E"/>
    <w:rsid w:val="004324DB"/>
    <w:rsid w:val="004355D5"/>
    <w:rsid w:val="00436BB4"/>
    <w:rsid w:val="004426E6"/>
    <w:rsid w:val="00446D70"/>
    <w:rsid w:val="00447A40"/>
    <w:rsid w:val="00460461"/>
    <w:rsid w:val="004660E8"/>
    <w:rsid w:val="00470642"/>
    <w:rsid w:val="00470AC3"/>
    <w:rsid w:val="00470F0A"/>
    <w:rsid w:val="00470FB0"/>
    <w:rsid w:val="00474B95"/>
    <w:rsid w:val="004806F1"/>
    <w:rsid w:val="00482458"/>
    <w:rsid w:val="00484244"/>
    <w:rsid w:val="004875E3"/>
    <w:rsid w:val="004922E2"/>
    <w:rsid w:val="004936D2"/>
    <w:rsid w:val="00496490"/>
    <w:rsid w:val="00496D0D"/>
    <w:rsid w:val="0049730F"/>
    <w:rsid w:val="00497E01"/>
    <w:rsid w:val="004B05B7"/>
    <w:rsid w:val="004B2C4F"/>
    <w:rsid w:val="004B4AC7"/>
    <w:rsid w:val="004B67AD"/>
    <w:rsid w:val="004C0C84"/>
    <w:rsid w:val="004E15D8"/>
    <w:rsid w:val="004E487E"/>
    <w:rsid w:val="004E7E59"/>
    <w:rsid w:val="00503461"/>
    <w:rsid w:val="00507FBA"/>
    <w:rsid w:val="00511991"/>
    <w:rsid w:val="005135D7"/>
    <w:rsid w:val="00517C0D"/>
    <w:rsid w:val="00522805"/>
    <w:rsid w:val="005236E3"/>
    <w:rsid w:val="0052623E"/>
    <w:rsid w:val="00532435"/>
    <w:rsid w:val="00534F34"/>
    <w:rsid w:val="00535C89"/>
    <w:rsid w:val="005377D1"/>
    <w:rsid w:val="00543AD4"/>
    <w:rsid w:val="00544C73"/>
    <w:rsid w:val="00550651"/>
    <w:rsid w:val="005515D8"/>
    <w:rsid w:val="005571E6"/>
    <w:rsid w:val="00560B1A"/>
    <w:rsid w:val="00573396"/>
    <w:rsid w:val="0058218B"/>
    <w:rsid w:val="0058398A"/>
    <w:rsid w:val="00584435"/>
    <w:rsid w:val="005A15F9"/>
    <w:rsid w:val="005A3830"/>
    <w:rsid w:val="005A3B65"/>
    <w:rsid w:val="005A51F7"/>
    <w:rsid w:val="005A72CA"/>
    <w:rsid w:val="005B1EB6"/>
    <w:rsid w:val="005B1FEF"/>
    <w:rsid w:val="005B3A7F"/>
    <w:rsid w:val="005B653F"/>
    <w:rsid w:val="005C1333"/>
    <w:rsid w:val="005C2555"/>
    <w:rsid w:val="005C5648"/>
    <w:rsid w:val="005D1995"/>
    <w:rsid w:val="005D1F90"/>
    <w:rsid w:val="005D381E"/>
    <w:rsid w:val="005D3F29"/>
    <w:rsid w:val="005D720A"/>
    <w:rsid w:val="005E1301"/>
    <w:rsid w:val="005E3219"/>
    <w:rsid w:val="005F243C"/>
    <w:rsid w:val="005F4065"/>
    <w:rsid w:val="005F5483"/>
    <w:rsid w:val="0060142F"/>
    <w:rsid w:val="00603A19"/>
    <w:rsid w:val="00603D39"/>
    <w:rsid w:val="00607DA7"/>
    <w:rsid w:val="00610465"/>
    <w:rsid w:val="006163CA"/>
    <w:rsid w:val="006235F9"/>
    <w:rsid w:val="00623F56"/>
    <w:rsid w:val="0062455C"/>
    <w:rsid w:val="0062570F"/>
    <w:rsid w:val="006271FE"/>
    <w:rsid w:val="006316BE"/>
    <w:rsid w:val="0064147D"/>
    <w:rsid w:val="0064362F"/>
    <w:rsid w:val="006436A4"/>
    <w:rsid w:val="006504E0"/>
    <w:rsid w:val="006534B3"/>
    <w:rsid w:val="006551E7"/>
    <w:rsid w:val="00663834"/>
    <w:rsid w:val="0066506C"/>
    <w:rsid w:val="00667C57"/>
    <w:rsid w:val="00671FAF"/>
    <w:rsid w:val="006721B5"/>
    <w:rsid w:val="00675A0C"/>
    <w:rsid w:val="00680DFA"/>
    <w:rsid w:val="00685765"/>
    <w:rsid w:val="00691776"/>
    <w:rsid w:val="006927F2"/>
    <w:rsid w:val="00696409"/>
    <w:rsid w:val="00696F35"/>
    <w:rsid w:val="00697E78"/>
    <w:rsid w:val="006A30A8"/>
    <w:rsid w:val="006A77D3"/>
    <w:rsid w:val="006B1326"/>
    <w:rsid w:val="006B54D1"/>
    <w:rsid w:val="006B75E1"/>
    <w:rsid w:val="006C3983"/>
    <w:rsid w:val="006D3CE1"/>
    <w:rsid w:val="006E4048"/>
    <w:rsid w:val="006E78E5"/>
    <w:rsid w:val="006F06DF"/>
    <w:rsid w:val="006F09CC"/>
    <w:rsid w:val="006F49A3"/>
    <w:rsid w:val="0070155F"/>
    <w:rsid w:val="007051E0"/>
    <w:rsid w:val="007063A2"/>
    <w:rsid w:val="00712DBD"/>
    <w:rsid w:val="0071361C"/>
    <w:rsid w:val="00713FF5"/>
    <w:rsid w:val="00714CD9"/>
    <w:rsid w:val="00714F5A"/>
    <w:rsid w:val="007201F5"/>
    <w:rsid w:val="007218AE"/>
    <w:rsid w:val="00730C02"/>
    <w:rsid w:val="00735038"/>
    <w:rsid w:val="00735913"/>
    <w:rsid w:val="00736D72"/>
    <w:rsid w:val="007404CE"/>
    <w:rsid w:val="0074134A"/>
    <w:rsid w:val="00742910"/>
    <w:rsid w:val="00743CDD"/>
    <w:rsid w:val="00754124"/>
    <w:rsid w:val="007554D9"/>
    <w:rsid w:val="00761AA5"/>
    <w:rsid w:val="007640D1"/>
    <w:rsid w:val="00773331"/>
    <w:rsid w:val="00775263"/>
    <w:rsid w:val="00776571"/>
    <w:rsid w:val="00776FA4"/>
    <w:rsid w:val="007861F4"/>
    <w:rsid w:val="00786970"/>
    <w:rsid w:val="007909D7"/>
    <w:rsid w:val="007932EF"/>
    <w:rsid w:val="0079334A"/>
    <w:rsid w:val="00796F49"/>
    <w:rsid w:val="00797604"/>
    <w:rsid w:val="0079BBA4"/>
    <w:rsid w:val="007A2BE3"/>
    <w:rsid w:val="007A4A20"/>
    <w:rsid w:val="007A644B"/>
    <w:rsid w:val="007B2837"/>
    <w:rsid w:val="007B69F0"/>
    <w:rsid w:val="007C3EA6"/>
    <w:rsid w:val="007C4E5C"/>
    <w:rsid w:val="007D0E16"/>
    <w:rsid w:val="007D18F1"/>
    <w:rsid w:val="007D75C3"/>
    <w:rsid w:val="007D7F23"/>
    <w:rsid w:val="007E05B0"/>
    <w:rsid w:val="007E1A9F"/>
    <w:rsid w:val="007E60A8"/>
    <w:rsid w:val="007F1D61"/>
    <w:rsid w:val="007F5E2D"/>
    <w:rsid w:val="007F65E7"/>
    <w:rsid w:val="007F6FF8"/>
    <w:rsid w:val="007F76D1"/>
    <w:rsid w:val="00802F3F"/>
    <w:rsid w:val="0081538B"/>
    <w:rsid w:val="0082272C"/>
    <w:rsid w:val="00825643"/>
    <w:rsid w:val="008278A0"/>
    <w:rsid w:val="00837276"/>
    <w:rsid w:val="008425D5"/>
    <w:rsid w:val="008433EF"/>
    <w:rsid w:val="00846AA7"/>
    <w:rsid w:val="00847791"/>
    <w:rsid w:val="008505C6"/>
    <w:rsid w:val="00857949"/>
    <w:rsid w:val="008601E3"/>
    <w:rsid w:val="008601E9"/>
    <w:rsid w:val="00860958"/>
    <w:rsid w:val="00864CC0"/>
    <w:rsid w:val="00874D22"/>
    <w:rsid w:val="00891ABD"/>
    <w:rsid w:val="00896AB3"/>
    <w:rsid w:val="008A2914"/>
    <w:rsid w:val="008A2D6E"/>
    <w:rsid w:val="008B454F"/>
    <w:rsid w:val="008B6C5E"/>
    <w:rsid w:val="008C386A"/>
    <w:rsid w:val="008C42CC"/>
    <w:rsid w:val="008D289A"/>
    <w:rsid w:val="008D2CC4"/>
    <w:rsid w:val="008D3D78"/>
    <w:rsid w:val="008D6F55"/>
    <w:rsid w:val="008E4D8E"/>
    <w:rsid w:val="008F1062"/>
    <w:rsid w:val="008F2A94"/>
    <w:rsid w:val="008F528B"/>
    <w:rsid w:val="008F7734"/>
    <w:rsid w:val="008F7FAC"/>
    <w:rsid w:val="00903F2D"/>
    <w:rsid w:val="00904003"/>
    <w:rsid w:val="00910EEC"/>
    <w:rsid w:val="00911450"/>
    <w:rsid w:val="00914115"/>
    <w:rsid w:val="00914DA6"/>
    <w:rsid w:val="00923E60"/>
    <w:rsid w:val="009278D8"/>
    <w:rsid w:val="00931A06"/>
    <w:rsid w:val="0093676E"/>
    <w:rsid w:val="00940477"/>
    <w:rsid w:val="009407B2"/>
    <w:rsid w:val="00944869"/>
    <w:rsid w:val="00946725"/>
    <w:rsid w:val="009506BB"/>
    <w:rsid w:val="00954056"/>
    <w:rsid w:val="009623DA"/>
    <w:rsid w:val="00963BE1"/>
    <w:rsid w:val="00970599"/>
    <w:rsid w:val="00974022"/>
    <w:rsid w:val="00977632"/>
    <w:rsid w:val="00980B6C"/>
    <w:rsid w:val="00983B2A"/>
    <w:rsid w:val="009909E0"/>
    <w:rsid w:val="0099320A"/>
    <w:rsid w:val="0099385A"/>
    <w:rsid w:val="00996004"/>
    <w:rsid w:val="009A3961"/>
    <w:rsid w:val="009A3A42"/>
    <w:rsid w:val="009B06BB"/>
    <w:rsid w:val="009B115C"/>
    <w:rsid w:val="009B27E7"/>
    <w:rsid w:val="009C3B72"/>
    <w:rsid w:val="009C4A79"/>
    <w:rsid w:val="009D0945"/>
    <w:rsid w:val="009D10FC"/>
    <w:rsid w:val="009D34E2"/>
    <w:rsid w:val="009D521B"/>
    <w:rsid w:val="009D60D4"/>
    <w:rsid w:val="009E0AAF"/>
    <w:rsid w:val="009E1397"/>
    <w:rsid w:val="009E268A"/>
    <w:rsid w:val="009E2DB0"/>
    <w:rsid w:val="009F0B9E"/>
    <w:rsid w:val="009F1996"/>
    <w:rsid w:val="009F393C"/>
    <w:rsid w:val="009F4B70"/>
    <w:rsid w:val="00A00F60"/>
    <w:rsid w:val="00A02785"/>
    <w:rsid w:val="00A0486C"/>
    <w:rsid w:val="00A10AFE"/>
    <w:rsid w:val="00A15861"/>
    <w:rsid w:val="00A30364"/>
    <w:rsid w:val="00A32273"/>
    <w:rsid w:val="00A35C05"/>
    <w:rsid w:val="00A37CCF"/>
    <w:rsid w:val="00A57065"/>
    <w:rsid w:val="00A611E5"/>
    <w:rsid w:val="00A62AEC"/>
    <w:rsid w:val="00A639FA"/>
    <w:rsid w:val="00A70422"/>
    <w:rsid w:val="00A70D30"/>
    <w:rsid w:val="00A73E9E"/>
    <w:rsid w:val="00A744F7"/>
    <w:rsid w:val="00A77310"/>
    <w:rsid w:val="00A80389"/>
    <w:rsid w:val="00A84A76"/>
    <w:rsid w:val="00A86FC5"/>
    <w:rsid w:val="00A91F4B"/>
    <w:rsid w:val="00AB35CE"/>
    <w:rsid w:val="00AB4E3A"/>
    <w:rsid w:val="00AB5B70"/>
    <w:rsid w:val="00AB6CDE"/>
    <w:rsid w:val="00AC059D"/>
    <w:rsid w:val="00AC1CEA"/>
    <w:rsid w:val="00AC2657"/>
    <w:rsid w:val="00AC423F"/>
    <w:rsid w:val="00AC584B"/>
    <w:rsid w:val="00AD1179"/>
    <w:rsid w:val="00AD19E7"/>
    <w:rsid w:val="00AD269F"/>
    <w:rsid w:val="00AD647E"/>
    <w:rsid w:val="00AE2734"/>
    <w:rsid w:val="00AE681C"/>
    <w:rsid w:val="00AE6AAB"/>
    <w:rsid w:val="00AE6B8F"/>
    <w:rsid w:val="00AF4990"/>
    <w:rsid w:val="00AF52A6"/>
    <w:rsid w:val="00B0410F"/>
    <w:rsid w:val="00B0631A"/>
    <w:rsid w:val="00B07023"/>
    <w:rsid w:val="00B11E47"/>
    <w:rsid w:val="00B1201D"/>
    <w:rsid w:val="00B21049"/>
    <w:rsid w:val="00B2119F"/>
    <w:rsid w:val="00B3227A"/>
    <w:rsid w:val="00B37E47"/>
    <w:rsid w:val="00B44A11"/>
    <w:rsid w:val="00B46803"/>
    <w:rsid w:val="00B47254"/>
    <w:rsid w:val="00B542D3"/>
    <w:rsid w:val="00B6128D"/>
    <w:rsid w:val="00B70E85"/>
    <w:rsid w:val="00B73C00"/>
    <w:rsid w:val="00B76A17"/>
    <w:rsid w:val="00B77852"/>
    <w:rsid w:val="00B8616B"/>
    <w:rsid w:val="00B9640C"/>
    <w:rsid w:val="00B96B19"/>
    <w:rsid w:val="00B9735B"/>
    <w:rsid w:val="00B97C51"/>
    <w:rsid w:val="00BA296D"/>
    <w:rsid w:val="00BB08C5"/>
    <w:rsid w:val="00BC0E6C"/>
    <w:rsid w:val="00BC2121"/>
    <w:rsid w:val="00BC4D02"/>
    <w:rsid w:val="00BC5501"/>
    <w:rsid w:val="00BC6319"/>
    <w:rsid w:val="00BD075F"/>
    <w:rsid w:val="00BD323B"/>
    <w:rsid w:val="00BD538D"/>
    <w:rsid w:val="00BD5AA9"/>
    <w:rsid w:val="00BE2E4B"/>
    <w:rsid w:val="00BF673B"/>
    <w:rsid w:val="00BF7842"/>
    <w:rsid w:val="00BF787D"/>
    <w:rsid w:val="00C03113"/>
    <w:rsid w:val="00C03208"/>
    <w:rsid w:val="00C040F3"/>
    <w:rsid w:val="00C064C0"/>
    <w:rsid w:val="00C11D1E"/>
    <w:rsid w:val="00C12301"/>
    <w:rsid w:val="00C15ECF"/>
    <w:rsid w:val="00C1652F"/>
    <w:rsid w:val="00C16536"/>
    <w:rsid w:val="00C205F1"/>
    <w:rsid w:val="00C25FD2"/>
    <w:rsid w:val="00C2636C"/>
    <w:rsid w:val="00C42251"/>
    <w:rsid w:val="00C430AE"/>
    <w:rsid w:val="00C4542A"/>
    <w:rsid w:val="00C46158"/>
    <w:rsid w:val="00C46AEC"/>
    <w:rsid w:val="00C55D11"/>
    <w:rsid w:val="00C61462"/>
    <w:rsid w:val="00C65977"/>
    <w:rsid w:val="00C708BA"/>
    <w:rsid w:val="00C7135F"/>
    <w:rsid w:val="00C74342"/>
    <w:rsid w:val="00C83D60"/>
    <w:rsid w:val="00C841A9"/>
    <w:rsid w:val="00C8491B"/>
    <w:rsid w:val="00C91A75"/>
    <w:rsid w:val="00C92B95"/>
    <w:rsid w:val="00C9662D"/>
    <w:rsid w:val="00CA08B5"/>
    <w:rsid w:val="00CB40B6"/>
    <w:rsid w:val="00CC0455"/>
    <w:rsid w:val="00CC6A0E"/>
    <w:rsid w:val="00CC72FC"/>
    <w:rsid w:val="00CC7ECC"/>
    <w:rsid w:val="00CD0819"/>
    <w:rsid w:val="00CE099F"/>
    <w:rsid w:val="00CE0A7A"/>
    <w:rsid w:val="00CE1F08"/>
    <w:rsid w:val="00CE6112"/>
    <w:rsid w:val="00CF1ACB"/>
    <w:rsid w:val="00CF2AD4"/>
    <w:rsid w:val="00CF3142"/>
    <w:rsid w:val="00D0197C"/>
    <w:rsid w:val="00D032B4"/>
    <w:rsid w:val="00D03B13"/>
    <w:rsid w:val="00D06D36"/>
    <w:rsid w:val="00D10440"/>
    <w:rsid w:val="00D20381"/>
    <w:rsid w:val="00D20AAA"/>
    <w:rsid w:val="00D22D17"/>
    <w:rsid w:val="00D23FAD"/>
    <w:rsid w:val="00D31070"/>
    <w:rsid w:val="00D33173"/>
    <w:rsid w:val="00D33268"/>
    <w:rsid w:val="00D3746E"/>
    <w:rsid w:val="00D40B48"/>
    <w:rsid w:val="00D42144"/>
    <w:rsid w:val="00D432D5"/>
    <w:rsid w:val="00D4596C"/>
    <w:rsid w:val="00D5253E"/>
    <w:rsid w:val="00D52C7B"/>
    <w:rsid w:val="00D536E5"/>
    <w:rsid w:val="00D560E1"/>
    <w:rsid w:val="00D606F5"/>
    <w:rsid w:val="00D60E6E"/>
    <w:rsid w:val="00D61583"/>
    <w:rsid w:val="00D61D87"/>
    <w:rsid w:val="00D647FB"/>
    <w:rsid w:val="00D64FD3"/>
    <w:rsid w:val="00D65DCD"/>
    <w:rsid w:val="00D666E5"/>
    <w:rsid w:val="00D66BEC"/>
    <w:rsid w:val="00D72EB4"/>
    <w:rsid w:val="00D76A7A"/>
    <w:rsid w:val="00D821D1"/>
    <w:rsid w:val="00D87852"/>
    <w:rsid w:val="00D91504"/>
    <w:rsid w:val="00D919B4"/>
    <w:rsid w:val="00DA5A52"/>
    <w:rsid w:val="00DB0B03"/>
    <w:rsid w:val="00DC0CB3"/>
    <w:rsid w:val="00DC3782"/>
    <w:rsid w:val="00DC6AA6"/>
    <w:rsid w:val="00DD22D0"/>
    <w:rsid w:val="00DD5835"/>
    <w:rsid w:val="00DD5BF9"/>
    <w:rsid w:val="00DD670C"/>
    <w:rsid w:val="00DE0AB0"/>
    <w:rsid w:val="00DE2BB0"/>
    <w:rsid w:val="00DE5F39"/>
    <w:rsid w:val="00DF544D"/>
    <w:rsid w:val="00E02978"/>
    <w:rsid w:val="00E13F67"/>
    <w:rsid w:val="00E153A2"/>
    <w:rsid w:val="00E16688"/>
    <w:rsid w:val="00E22423"/>
    <w:rsid w:val="00E2464C"/>
    <w:rsid w:val="00E277B8"/>
    <w:rsid w:val="00E366EC"/>
    <w:rsid w:val="00E37693"/>
    <w:rsid w:val="00E4089B"/>
    <w:rsid w:val="00E43E51"/>
    <w:rsid w:val="00E44653"/>
    <w:rsid w:val="00E51F60"/>
    <w:rsid w:val="00E53EE1"/>
    <w:rsid w:val="00E547CD"/>
    <w:rsid w:val="00E664ED"/>
    <w:rsid w:val="00E711BD"/>
    <w:rsid w:val="00E71A4C"/>
    <w:rsid w:val="00E71B34"/>
    <w:rsid w:val="00E72370"/>
    <w:rsid w:val="00E755B8"/>
    <w:rsid w:val="00E774DB"/>
    <w:rsid w:val="00E87AAD"/>
    <w:rsid w:val="00E905BC"/>
    <w:rsid w:val="00E92EFA"/>
    <w:rsid w:val="00E9340C"/>
    <w:rsid w:val="00E96F94"/>
    <w:rsid w:val="00EA2FD7"/>
    <w:rsid w:val="00EA5C11"/>
    <w:rsid w:val="00EA67CD"/>
    <w:rsid w:val="00EB0D62"/>
    <w:rsid w:val="00EC1B38"/>
    <w:rsid w:val="00EC5419"/>
    <w:rsid w:val="00EC659D"/>
    <w:rsid w:val="00EC7F88"/>
    <w:rsid w:val="00ED2C1E"/>
    <w:rsid w:val="00ED78FA"/>
    <w:rsid w:val="00EE6E79"/>
    <w:rsid w:val="00EF0031"/>
    <w:rsid w:val="00EF2FE6"/>
    <w:rsid w:val="00EF7F9C"/>
    <w:rsid w:val="00F21732"/>
    <w:rsid w:val="00F260CE"/>
    <w:rsid w:val="00F30A19"/>
    <w:rsid w:val="00F3130D"/>
    <w:rsid w:val="00F35FA1"/>
    <w:rsid w:val="00F37D92"/>
    <w:rsid w:val="00F404F9"/>
    <w:rsid w:val="00F477BF"/>
    <w:rsid w:val="00F51FB0"/>
    <w:rsid w:val="00F60E4C"/>
    <w:rsid w:val="00F623D2"/>
    <w:rsid w:val="00F7073F"/>
    <w:rsid w:val="00F7188A"/>
    <w:rsid w:val="00F7228D"/>
    <w:rsid w:val="00F7396D"/>
    <w:rsid w:val="00F74F2B"/>
    <w:rsid w:val="00F7765E"/>
    <w:rsid w:val="00F8034C"/>
    <w:rsid w:val="00F819C5"/>
    <w:rsid w:val="00F86D7B"/>
    <w:rsid w:val="00F90472"/>
    <w:rsid w:val="00F91F0C"/>
    <w:rsid w:val="00F9640A"/>
    <w:rsid w:val="00F974D6"/>
    <w:rsid w:val="00FA29BA"/>
    <w:rsid w:val="00FA3538"/>
    <w:rsid w:val="00FA6B2A"/>
    <w:rsid w:val="00FB3A7E"/>
    <w:rsid w:val="00FB5F73"/>
    <w:rsid w:val="00FB71EC"/>
    <w:rsid w:val="00FC1B89"/>
    <w:rsid w:val="00FC341E"/>
    <w:rsid w:val="00FC38F8"/>
    <w:rsid w:val="00FC7CAD"/>
    <w:rsid w:val="00FD27B6"/>
    <w:rsid w:val="00FD2FEB"/>
    <w:rsid w:val="00FD727A"/>
    <w:rsid w:val="00FD73ED"/>
    <w:rsid w:val="00FE45A5"/>
    <w:rsid w:val="00FF00A6"/>
    <w:rsid w:val="00FF1414"/>
    <w:rsid w:val="018A2F80"/>
    <w:rsid w:val="01C7DD8D"/>
    <w:rsid w:val="01E3BF9D"/>
    <w:rsid w:val="0265C459"/>
    <w:rsid w:val="027F7EA2"/>
    <w:rsid w:val="0296BB3D"/>
    <w:rsid w:val="02C4D820"/>
    <w:rsid w:val="0352CF48"/>
    <w:rsid w:val="036E7963"/>
    <w:rsid w:val="038B9A68"/>
    <w:rsid w:val="03C6D492"/>
    <w:rsid w:val="044D48A5"/>
    <w:rsid w:val="04872313"/>
    <w:rsid w:val="04FEE642"/>
    <w:rsid w:val="05246D53"/>
    <w:rsid w:val="05496309"/>
    <w:rsid w:val="0591219A"/>
    <w:rsid w:val="05B6F0B6"/>
    <w:rsid w:val="05F82421"/>
    <w:rsid w:val="06AF0410"/>
    <w:rsid w:val="071B064C"/>
    <w:rsid w:val="07293D0F"/>
    <w:rsid w:val="078C57E1"/>
    <w:rsid w:val="07A73A75"/>
    <w:rsid w:val="08852A4D"/>
    <w:rsid w:val="08B73767"/>
    <w:rsid w:val="08EAE2EA"/>
    <w:rsid w:val="09C42DF9"/>
    <w:rsid w:val="09EFF0DD"/>
    <w:rsid w:val="0A4414DE"/>
    <w:rsid w:val="0AA782D1"/>
    <w:rsid w:val="0AAE3086"/>
    <w:rsid w:val="0AD2ADFD"/>
    <w:rsid w:val="0ADFAA90"/>
    <w:rsid w:val="0B1CE1FE"/>
    <w:rsid w:val="0B317D9A"/>
    <w:rsid w:val="0BCA40B1"/>
    <w:rsid w:val="0BE6EE86"/>
    <w:rsid w:val="0BFBABB5"/>
    <w:rsid w:val="0BFDCBBC"/>
    <w:rsid w:val="0C363784"/>
    <w:rsid w:val="0D4A758B"/>
    <w:rsid w:val="0DB7F940"/>
    <w:rsid w:val="0E071114"/>
    <w:rsid w:val="0E787C57"/>
    <w:rsid w:val="0E90EE49"/>
    <w:rsid w:val="0EE3C2C7"/>
    <w:rsid w:val="0F0437A0"/>
    <w:rsid w:val="0F35B93A"/>
    <w:rsid w:val="0F4DE6CC"/>
    <w:rsid w:val="0F4E6C3A"/>
    <w:rsid w:val="0F7E4ECE"/>
    <w:rsid w:val="1048633E"/>
    <w:rsid w:val="105A0AE2"/>
    <w:rsid w:val="107EF216"/>
    <w:rsid w:val="1104A873"/>
    <w:rsid w:val="111DFC25"/>
    <w:rsid w:val="116E1197"/>
    <w:rsid w:val="125D744D"/>
    <w:rsid w:val="128D2513"/>
    <w:rsid w:val="128D3203"/>
    <w:rsid w:val="12AD7B93"/>
    <w:rsid w:val="130E977E"/>
    <w:rsid w:val="132914FA"/>
    <w:rsid w:val="13AB036A"/>
    <w:rsid w:val="14249874"/>
    <w:rsid w:val="148E44EC"/>
    <w:rsid w:val="15211045"/>
    <w:rsid w:val="15382386"/>
    <w:rsid w:val="157CC15D"/>
    <w:rsid w:val="159C5FD1"/>
    <w:rsid w:val="15A8FEEC"/>
    <w:rsid w:val="161997DE"/>
    <w:rsid w:val="1635B175"/>
    <w:rsid w:val="169B87CF"/>
    <w:rsid w:val="1A2A8370"/>
    <w:rsid w:val="1A30E358"/>
    <w:rsid w:val="1A407926"/>
    <w:rsid w:val="1A487D3C"/>
    <w:rsid w:val="1A7593F1"/>
    <w:rsid w:val="1AB5CB52"/>
    <w:rsid w:val="1B04E3D7"/>
    <w:rsid w:val="1B2AACDF"/>
    <w:rsid w:val="1B3FCADA"/>
    <w:rsid w:val="1B695CBD"/>
    <w:rsid w:val="1C1879E6"/>
    <w:rsid w:val="1C63085A"/>
    <w:rsid w:val="1C8147DA"/>
    <w:rsid w:val="1CA8E1DE"/>
    <w:rsid w:val="1CBC181E"/>
    <w:rsid w:val="1CCC2156"/>
    <w:rsid w:val="1D2074E4"/>
    <w:rsid w:val="1D556A21"/>
    <w:rsid w:val="1D64E2E1"/>
    <w:rsid w:val="1DA18CDB"/>
    <w:rsid w:val="1DA6AB6D"/>
    <w:rsid w:val="1DC36E0C"/>
    <w:rsid w:val="1E6FF01B"/>
    <w:rsid w:val="1F13B498"/>
    <w:rsid w:val="1FA3EAC8"/>
    <w:rsid w:val="2004D1D2"/>
    <w:rsid w:val="200C41DE"/>
    <w:rsid w:val="205CE49F"/>
    <w:rsid w:val="206063AA"/>
    <w:rsid w:val="2065D7E0"/>
    <w:rsid w:val="20EC356F"/>
    <w:rsid w:val="21C64445"/>
    <w:rsid w:val="2219B075"/>
    <w:rsid w:val="235C70D0"/>
    <w:rsid w:val="23DEE55F"/>
    <w:rsid w:val="23F53902"/>
    <w:rsid w:val="2443218D"/>
    <w:rsid w:val="25AC1588"/>
    <w:rsid w:val="2603A176"/>
    <w:rsid w:val="26777F14"/>
    <w:rsid w:val="2694671F"/>
    <w:rsid w:val="26E42BE4"/>
    <w:rsid w:val="26F71F39"/>
    <w:rsid w:val="28F3225B"/>
    <w:rsid w:val="2994B0C8"/>
    <w:rsid w:val="29B6C717"/>
    <w:rsid w:val="29CD376E"/>
    <w:rsid w:val="2A8F8818"/>
    <w:rsid w:val="2A968E1D"/>
    <w:rsid w:val="2B5AAB2A"/>
    <w:rsid w:val="2B62490C"/>
    <w:rsid w:val="2BD3AB80"/>
    <w:rsid w:val="2BDF73EE"/>
    <w:rsid w:val="2C9AD6F4"/>
    <w:rsid w:val="2CBCE936"/>
    <w:rsid w:val="2CF22611"/>
    <w:rsid w:val="2D57E031"/>
    <w:rsid w:val="2D7D2CC6"/>
    <w:rsid w:val="2D9F31F6"/>
    <w:rsid w:val="2DEAB41E"/>
    <w:rsid w:val="2E8507DB"/>
    <w:rsid w:val="2E8735F0"/>
    <w:rsid w:val="2F5C8891"/>
    <w:rsid w:val="2FD1130E"/>
    <w:rsid w:val="3098FE9B"/>
    <w:rsid w:val="30CA670E"/>
    <w:rsid w:val="3143158F"/>
    <w:rsid w:val="319EB54B"/>
    <w:rsid w:val="31C7D2FF"/>
    <w:rsid w:val="328A5586"/>
    <w:rsid w:val="329050BB"/>
    <w:rsid w:val="32A497E3"/>
    <w:rsid w:val="32C6B922"/>
    <w:rsid w:val="32D07D59"/>
    <w:rsid w:val="333E6D56"/>
    <w:rsid w:val="3345E61B"/>
    <w:rsid w:val="335C9E9F"/>
    <w:rsid w:val="339199E3"/>
    <w:rsid w:val="3444FCF1"/>
    <w:rsid w:val="34654088"/>
    <w:rsid w:val="34970649"/>
    <w:rsid w:val="35021394"/>
    <w:rsid w:val="350E826D"/>
    <w:rsid w:val="365F15C0"/>
    <w:rsid w:val="3839C1E9"/>
    <w:rsid w:val="38679693"/>
    <w:rsid w:val="38E461F8"/>
    <w:rsid w:val="390D76DE"/>
    <w:rsid w:val="396C6B6D"/>
    <w:rsid w:val="399DF555"/>
    <w:rsid w:val="39EB18FF"/>
    <w:rsid w:val="3A0F1941"/>
    <w:rsid w:val="3A378743"/>
    <w:rsid w:val="3A4B9EEF"/>
    <w:rsid w:val="3A56E785"/>
    <w:rsid w:val="3A88276B"/>
    <w:rsid w:val="3B0632C5"/>
    <w:rsid w:val="3B347B21"/>
    <w:rsid w:val="3BB81EB7"/>
    <w:rsid w:val="3BC33552"/>
    <w:rsid w:val="3BC5E717"/>
    <w:rsid w:val="3BD4E15A"/>
    <w:rsid w:val="3C5CB790"/>
    <w:rsid w:val="3C76D54E"/>
    <w:rsid w:val="3CDC534B"/>
    <w:rsid w:val="3D6C988C"/>
    <w:rsid w:val="3D957B77"/>
    <w:rsid w:val="3E199E75"/>
    <w:rsid w:val="3E2A79B0"/>
    <w:rsid w:val="3E2E1C16"/>
    <w:rsid w:val="3E3D1BFA"/>
    <w:rsid w:val="3E3EF4D8"/>
    <w:rsid w:val="3E7509A0"/>
    <w:rsid w:val="3F3A6D13"/>
    <w:rsid w:val="3FDB61BC"/>
    <w:rsid w:val="415832B7"/>
    <w:rsid w:val="4175C1D8"/>
    <w:rsid w:val="42046B43"/>
    <w:rsid w:val="42594EE3"/>
    <w:rsid w:val="427E5A37"/>
    <w:rsid w:val="42A2106C"/>
    <w:rsid w:val="4341AE01"/>
    <w:rsid w:val="43735901"/>
    <w:rsid w:val="43A97B8F"/>
    <w:rsid w:val="4441D004"/>
    <w:rsid w:val="44756CD9"/>
    <w:rsid w:val="447DF571"/>
    <w:rsid w:val="4482064F"/>
    <w:rsid w:val="448308B5"/>
    <w:rsid w:val="448A7487"/>
    <w:rsid w:val="45343F03"/>
    <w:rsid w:val="454A6F7F"/>
    <w:rsid w:val="459BD7D0"/>
    <w:rsid w:val="46126807"/>
    <w:rsid w:val="46EE11AF"/>
    <w:rsid w:val="46F25454"/>
    <w:rsid w:val="473B23E8"/>
    <w:rsid w:val="4782100C"/>
    <w:rsid w:val="48AA8845"/>
    <w:rsid w:val="48B1CD16"/>
    <w:rsid w:val="48D9E239"/>
    <w:rsid w:val="49DBCE4A"/>
    <w:rsid w:val="49E8A166"/>
    <w:rsid w:val="4A50BF46"/>
    <w:rsid w:val="4A7841C0"/>
    <w:rsid w:val="4AA17504"/>
    <w:rsid w:val="4AEA76CC"/>
    <w:rsid w:val="4AFF641D"/>
    <w:rsid w:val="4BB22856"/>
    <w:rsid w:val="4BF44B1D"/>
    <w:rsid w:val="4CBB07C3"/>
    <w:rsid w:val="4D0F65B3"/>
    <w:rsid w:val="4D205260"/>
    <w:rsid w:val="4E3DB155"/>
    <w:rsid w:val="4F4CA0A9"/>
    <w:rsid w:val="4FB4E5AC"/>
    <w:rsid w:val="4FC39EC6"/>
    <w:rsid w:val="4FCAA998"/>
    <w:rsid w:val="4FE26250"/>
    <w:rsid w:val="50052434"/>
    <w:rsid w:val="500A7F27"/>
    <w:rsid w:val="50126AA8"/>
    <w:rsid w:val="5089DC1C"/>
    <w:rsid w:val="509B216E"/>
    <w:rsid w:val="510ED8AE"/>
    <w:rsid w:val="517882A2"/>
    <w:rsid w:val="522043E8"/>
    <w:rsid w:val="526E4953"/>
    <w:rsid w:val="53CADAE6"/>
    <w:rsid w:val="53EB2B60"/>
    <w:rsid w:val="5490F1C9"/>
    <w:rsid w:val="5576EDD8"/>
    <w:rsid w:val="55F0E6BA"/>
    <w:rsid w:val="56324E99"/>
    <w:rsid w:val="56AAB751"/>
    <w:rsid w:val="56B45B78"/>
    <w:rsid w:val="5762D5AF"/>
    <w:rsid w:val="579628F0"/>
    <w:rsid w:val="57B4AE75"/>
    <w:rsid w:val="57F22299"/>
    <w:rsid w:val="580D00ED"/>
    <w:rsid w:val="58791431"/>
    <w:rsid w:val="5894CDC7"/>
    <w:rsid w:val="5946CE7C"/>
    <w:rsid w:val="5A04819A"/>
    <w:rsid w:val="5A466E2D"/>
    <w:rsid w:val="5A51CA0F"/>
    <w:rsid w:val="5AC69E8B"/>
    <w:rsid w:val="5B3A57AC"/>
    <w:rsid w:val="5B518D2B"/>
    <w:rsid w:val="5B768900"/>
    <w:rsid w:val="5BE0317C"/>
    <w:rsid w:val="5BF2C35D"/>
    <w:rsid w:val="5C9A263D"/>
    <w:rsid w:val="5D143F29"/>
    <w:rsid w:val="5D947E95"/>
    <w:rsid w:val="5F221E30"/>
    <w:rsid w:val="5FC4BD56"/>
    <w:rsid w:val="5FE30E12"/>
    <w:rsid w:val="602CB331"/>
    <w:rsid w:val="606CF6F7"/>
    <w:rsid w:val="60DF97E2"/>
    <w:rsid w:val="617989BD"/>
    <w:rsid w:val="62720239"/>
    <w:rsid w:val="627CAFC7"/>
    <w:rsid w:val="6326D565"/>
    <w:rsid w:val="6379D848"/>
    <w:rsid w:val="6479CBD7"/>
    <w:rsid w:val="6740BC14"/>
    <w:rsid w:val="674150D4"/>
    <w:rsid w:val="675179F7"/>
    <w:rsid w:val="6755429E"/>
    <w:rsid w:val="67670983"/>
    <w:rsid w:val="677748B0"/>
    <w:rsid w:val="68159D82"/>
    <w:rsid w:val="68345C4B"/>
    <w:rsid w:val="68C6EECC"/>
    <w:rsid w:val="6B331D8F"/>
    <w:rsid w:val="6BB8C6F3"/>
    <w:rsid w:val="6C80F534"/>
    <w:rsid w:val="6C886443"/>
    <w:rsid w:val="6CD290D5"/>
    <w:rsid w:val="6CE061DD"/>
    <w:rsid w:val="6D11B64E"/>
    <w:rsid w:val="6D22E6EB"/>
    <w:rsid w:val="6DC62527"/>
    <w:rsid w:val="6F0EF78A"/>
    <w:rsid w:val="6F936492"/>
    <w:rsid w:val="6FB039BC"/>
    <w:rsid w:val="7008FD48"/>
    <w:rsid w:val="7015F345"/>
    <w:rsid w:val="7114EAA7"/>
    <w:rsid w:val="7124347D"/>
    <w:rsid w:val="713D9E71"/>
    <w:rsid w:val="71755FD1"/>
    <w:rsid w:val="71762322"/>
    <w:rsid w:val="71A17A8E"/>
    <w:rsid w:val="71AA88EF"/>
    <w:rsid w:val="71DD71C7"/>
    <w:rsid w:val="72C72C25"/>
    <w:rsid w:val="73032183"/>
    <w:rsid w:val="733D1552"/>
    <w:rsid w:val="741927D1"/>
    <w:rsid w:val="74AD01F3"/>
    <w:rsid w:val="74CA9413"/>
    <w:rsid w:val="74DE632B"/>
    <w:rsid w:val="75DE7443"/>
    <w:rsid w:val="75E45FBE"/>
    <w:rsid w:val="7630A56A"/>
    <w:rsid w:val="763131B4"/>
    <w:rsid w:val="76574F74"/>
    <w:rsid w:val="765D5E4F"/>
    <w:rsid w:val="766B2C8A"/>
    <w:rsid w:val="76D7976C"/>
    <w:rsid w:val="774ED6E6"/>
    <w:rsid w:val="789F3268"/>
    <w:rsid w:val="78F8FB35"/>
    <w:rsid w:val="78FF6324"/>
    <w:rsid w:val="79265BFE"/>
    <w:rsid w:val="79B8A6CF"/>
    <w:rsid w:val="79CE0F47"/>
    <w:rsid w:val="79FF9487"/>
    <w:rsid w:val="7A357305"/>
    <w:rsid w:val="7ADF954A"/>
    <w:rsid w:val="7AE69C00"/>
    <w:rsid w:val="7B0710F7"/>
    <w:rsid w:val="7B2C5766"/>
    <w:rsid w:val="7B2F9A08"/>
    <w:rsid w:val="7B4A7D15"/>
    <w:rsid w:val="7BD01C2E"/>
    <w:rsid w:val="7BE4FDB2"/>
    <w:rsid w:val="7C7A5394"/>
    <w:rsid w:val="7C85802D"/>
    <w:rsid w:val="7D80D4DF"/>
    <w:rsid w:val="7D9667F8"/>
    <w:rsid w:val="7E457995"/>
    <w:rsid w:val="7F14C585"/>
    <w:rsid w:val="7F2A2268"/>
    <w:rsid w:val="7F8B60F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EBEF6E"/>
  <w15:docId w15:val="{EFFF55D0-2D3C-4B62-99DD-572D196D89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29"/>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9"/>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9"/>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9"/>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9"/>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9"/>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9"/>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DD5835"/>
    <w:rPr>
      <w:sz w:val="16"/>
      <w:szCs w:val="16"/>
    </w:rPr>
  </w:style>
  <w:style w:type="paragraph" w:styleId="CommentText">
    <w:name w:val="annotation text"/>
    <w:basedOn w:val="Normal"/>
    <w:link w:val="CommentTextChar"/>
    <w:uiPriority w:val="99"/>
    <w:unhideWhenUsed/>
    <w:rsid w:val="00DD5835"/>
    <w:rPr>
      <w:sz w:val="20"/>
      <w:szCs w:val="20"/>
    </w:rPr>
  </w:style>
  <w:style w:type="character" w:customStyle="1" w:styleId="CommentTextChar">
    <w:name w:val="Comment Text Char"/>
    <w:basedOn w:val="DefaultParagraphFont"/>
    <w:link w:val="CommentText"/>
    <w:uiPriority w:val="99"/>
    <w:rsid w:val="00DD5835"/>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DD5835"/>
    <w:rPr>
      <w:b/>
      <w:bCs/>
    </w:rPr>
  </w:style>
  <w:style w:type="character" w:customStyle="1" w:styleId="CommentSubjectChar">
    <w:name w:val="Comment Subject Char"/>
    <w:basedOn w:val="CommentTextChar"/>
    <w:link w:val="CommentSubject"/>
    <w:uiPriority w:val="99"/>
    <w:semiHidden/>
    <w:rsid w:val="00DD5835"/>
    <w:rPr>
      <w:rFonts w:ascii="Times New Roman" w:hAnsi="Times New Roman" w:cs="Times New Roman"/>
      <w:b/>
      <w:bCs/>
      <w:sz w:val="20"/>
      <w:szCs w:val="20"/>
      <w:lang w:val="en-GB"/>
    </w:rPr>
  </w:style>
  <w:style w:type="character" w:styleId="Hyperlink">
    <w:name w:val="Hyperlink"/>
    <w:basedOn w:val="DefaultParagraphFont"/>
    <w:uiPriority w:val="99"/>
    <w:unhideWhenUsed/>
    <w:rsid w:val="00DD5835"/>
    <w:rPr>
      <w:color w:val="0000FF" w:themeColor="hyperlink"/>
      <w:u w:val="single"/>
    </w:rPr>
  </w:style>
  <w:style w:type="character" w:styleId="UnresolvedMention">
    <w:name w:val="Unresolved Mention"/>
    <w:basedOn w:val="DefaultParagraphFont"/>
    <w:uiPriority w:val="99"/>
    <w:semiHidden/>
    <w:unhideWhenUsed/>
    <w:rsid w:val="00DD5835"/>
    <w:rPr>
      <w:color w:val="605E5C"/>
      <w:shd w:val="clear" w:color="auto" w:fill="E1DFDD"/>
    </w:rPr>
  </w:style>
  <w:style w:type="paragraph" w:styleId="ListBullet">
    <w:name w:val="List Bullet"/>
    <w:basedOn w:val="Normal"/>
    <w:uiPriority w:val="99"/>
    <w:semiHidden/>
    <w:unhideWhenUsed/>
    <w:rsid w:val="00754124"/>
    <w:pPr>
      <w:numPr>
        <w:numId w:val="1"/>
      </w:numPr>
      <w:contextualSpacing/>
    </w:pPr>
  </w:style>
  <w:style w:type="paragraph" w:styleId="ListBullet2">
    <w:name w:val="List Bullet 2"/>
    <w:basedOn w:val="Normal"/>
    <w:uiPriority w:val="99"/>
    <w:semiHidden/>
    <w:unhideWhenUsed/>
    <w:rsid w:val="00754124"/>
    <w:pPr>
      <w:numPr>
        <w:numId w:val="2"/>
      </w:numPr>
      <w:contextualSpacing/>
    </w:pPr>
  </w:style>
  <w:style w:type="paragraph" w:styleId="ListBullet3">
    <w:name w:val="List Bullet 3"/>
    <w:basedOn w:val="Normal"/>
    <w:uiPriority w:val="99"/>
    <w:semiHidden/>
    <w:unhideWhenUsed/>
    <w:rsid w:val="00754124"/>
    <w:pPr>
      <w:numPr>
        <w:numId w:val="3"/>
      </w:numPr>
      <w:contextualSpacing/>
    </w:pPr>
  </w:style>
  <w:style w:type="paragraph" w:styleId="ListBullet4">
    <w:name w:val="List Bullet 4"/>
    <w:basedOn w:val="Normal"/>
    <w:uiPriority w:val="99"/>
    <w:semiHidden/>
    <w:unhideWhenUsed/>
    <w:rsid w:val="00754124"/>
    <w:pPr>
      <w:numPr>
        <w:numId w:val="4"/>
      </w:numPr>
      <w:contextualSpacing/>
    </w:pPr>
  </w:style>
  <w:style w:type="paragraph" w:styleId="Revision">
    <w:name w:val="Revision"/>
    <w:hidden/>
    <w:uiPriority w:val="99"/>
    <w:semiHidden/>
    <w:rsid w:val="00977632"/>
    <w:pPr>
      <w:spacing w:after="0" w:line="240" w:lineRule="auto"/>
    </w:pPr>
    <w:rPr>
      <w:rFonts w:ascii="Times New Roman" w:hAnsi="Times New Roman" w:cs="Times New Roman"/>
      <w:sz w:val="24"/>
      <w:lang w:val="en-GB"/>
    </w:rPr>
  </w:style>
  <w:style w:type="character" w:styleId="FollowedHyperlink">
    <w:name w:val="FollowedHyperlink"/>
    <w:basedOn w:val="DefaultParagraphFont"/>
    <w:uiPriority w:val="99"/>
    <w:semiHidden/>
    <w:unhideWhenUsed/>
    <w:rsid w:val="004875E3"/>
    <w:rPr>
      <w:color w:val="800080" w:themeColor="followedHyperlink"/>
      <w:u w:val="single"/>
    </w:rPr>
  </w:style>
  <w:style w:type="character" w:customStyle="1" w:styleId="cf01">
    <w:name w:val="cf01"/>
    <w:basedOn w:val="DefaultParagraphFont"/>
    <w:rsid w:val="00AF52A6"/>
    <w:rPr>
      <w:rFonts w:ascii="Segoe UI" w:hAnsi="Segoe UI" w:cs="Segoe UI" w:hint="default"/>
      <w:sz w:val="18"/>
      <w:szCs w:val="18"/>
    </w:rPr>
  </w:style>
  <w:style w:type="character" w:styleId="Mention">
    <w:name w:val="Mention"/>
    <w:basedOn w:val="DefaultParagraphFont"/>
    <w:uiPriority w:val="99"/>
    <w:unhideWhenUsed/>
    <w:rsid w:val="00D606F5"/>
    <w:rPr>
      <w:color w:val="2B579A"/>
      <w:shd w:val="clear" w:color="auto" w:fill="E1DFDD"/>
    </w:rPr>
  </w:style>
  <w:style w:type="paragraph" w:styleId="EndnoteText">
    <w:name w:val="endnote text"/>
    <w:basedOn w:val="Normal"/>
    <w:uiPriority w:val="99"/>
    <w:semiHidden/>
    <w:unhideWhenUsed/>
    <w:rsid w:val="339199E3"/>
    <w:pPr>
      <w:spacing w:after="0"/>
    </w:pPr>
    <w:rPr>
      <w:sz w:val="20"/>
      <w:szCs w:val="20"/>
    </w:rPr>
  </w:style>
  <w:style w:type="character" w:styleId="EndnoteReference">
    <w:name w:val="endnote reference"/>
    <w:basedOn w:val="DefaultParagraphFont"/>
    <w:uiPriority w:val="99"/>
    <w:semiHidden/>
    <w:unhideWhenUsed/>
    <w:rsid w:val="339199E3"/>
    <w:rPr>
      <w:vertAlign w:val="superscript"/>
    </w:rPr>
  </w:style>
  <w:style w:type="paragraph" w:styleId="Header">
    <w:name w:val="header"/>
    <w:basedOn w:val="Normal"/>
    <w:link w:val="HeaderChar"/>
    <w:uiPriority w:val="99"/>
    <w:unhideWhenUsed/>
    <w:rsid w:val="00B70E85"/>
    <w:pPr>
      <w:tabs>
        <w:tab w:val="center" w:pos="4535"/>
        <w:tab w:val="right" w:pos="9071"/>
      </w:tabs>
      <w:spacing w:before="0"/>
    </w:pPr>
  </w:style>
  <w:style w:type="character" w:customStyle="1" w:styleId="HeaderChar">
    <w:name w:val="Header Char"/>
    <w:basedOn w:val="DefaultParagraphFont"/>
    <w:link w:val="Header"/>
    <w:uiPriority w:val="99"/>
    <w:rsid w:val="00B70E85"/>
    <w:rPr>
      <w:rFonts w:ascii="Times New Roman" w:hAnsi="Times New Roman" w:cs="Times New Roman"/>
      <w:sz w:val="24"/>
      <w:lang w:val="en-GB"/>
    </w:rPr>
  </w:style>
  <w:style w:type="paragraph" w:styleId="Footer">
    <w:name w:val="footer"/>
    <w:basedOn w:val="Normal"/>
    <w:link w:val="FooterChar"/>
    <w:uiPriority w:val="99"/>
    <w:unhideWhenUsed/>
    <w:rsid w:val="00B70E85"/>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sid w:val="00B70E85"/>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paragraph" w:customStyle="1" w:styleId="HeaderLandscape">
    <w:name w:val="HeaderLandscape"/>
    <w:basedOn w:val="Normal"/>
    <w:rsid w:val="00B70E85"/>
    <w:pPr>
      <w:tabs>
        <w:tab w:val="center" w:pos="7285"/>
        <w:tab w:val="right" w:pos="14003"/>
      </w:tabs>
      <w:spacing w:before="0"/>
    </w:pPr>
  </w:style>
  <w:style w:type="paragraph" w:customStyle="1" w:styleId="FooterLandscape">
    <w:name w:val="FooterLandscape"/>
    <w:basedOn w:val="Normal"/>
    <w:rsid w:val="00B70E85"/>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B70E85"/>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B70E85"/>
    <w:pPr>
      <w:spacing w:before="0"/>
      <w:jc w:val="right"/>
    </w:pPr>
    <w:rPr>
      <w:sz w:val="28"/>
    </w:rPr>
  </w:style>
  <w:style w:type="paragraph" w:customStyle="1" w:styleId="FooterSensitivity">
    <w:name w:val="Footer Sensitivity"/>
    <w:basedOn w:val="Normal"/>
    <w:rsid w:val="00B70E85"/>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2"/>
      </w:numPr>
    </w:pPr>
  </w:style>
  <w:style w:type="paragraph" w:customStyle="1" w:styleId="Tiret1">
    <w:name w:val="Tiret 1"/>
    <w:basedOn w:val="Point1"/>
    <w:pPr>
      <w:numPr>
        <w:numId w:val="23"/>
      </w:numPr>
    </w:pPr>
  </w:style>
  <w:style w:type="paragraph" w:customStyle="1" w:styleId="Tiret2">
    <w:name w:val="Tiret 2"/>
    <w:basedOn w:val="Point2"/>
    <w:pPr>
      <w:numPr>
        <w:numId w:val="24"/>
      </w:numPr>
    </w:pPr>
  </w:style>
  <w:style w:type="paragraph" w:customStyle="1" w:styleId="Tiret3">
    <w:name w:val="Tiret 3"/>
    <w:basedOn w:val="Point3"/>
    <w:pPr>
      <w:numPr>
        <w:numId w:val="25"/>
      </w:numPr>
    </w:pPr>
  </w:style>
  <w:style w:type="paragraph" w:customStyle="1" w:styleId="Tiret4">
    <w:name w:val="Tiret 4"/>
    <w:basedOn w:val="Point4"/>
    <w:pPr>
      <w:numPr>
        <w:numId w:val="26"/>
      </w:numPr>
    </w:pPr>
  </w:style>
  <w:style w:type="paragraph" w:customStyle="1" w:styleId="Tiret5">
    <w:name w:val="Tiret 5"/>
    <w:basedOn w:val="Point5"/>
    <w:pPr>
      <w:numPr>
        <w:numId w:val="27"/>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8"/>
      </w:numPr>
    </w:pPr>
  </w:style>
  <w:style w:type="paragraph" w:customStyle="1" w:styleId="NumPar2">
    <w:name w:val="NumPar 2"/>
    <w:basedOn w:val="Normal"/>
    <w:next w:val="Text1"/>
    <w:pPr>
      <w:numPr>
        <w:ilvl w:val="1"/>
        <w:numId w:val="28"/>
      </w:numPr>
    </w:pPr>
  </w:style>
  <w:style w:type="paragraph" w:customStyle="1" w:styleId="NumPar3">
    <w:name w:val="NumPar 3"/>
    <w:basedOn w:val="Normal"/>
    <w:next w:val="Text1"/>
    <w:pPr>
      <w:numPr>
        <w:ilvl w:val="2"/>
        <w:numId w:val="28"/>
      </w:numPr>
    </w:pPr>
  </w:style>
  <w:style w:type="paragraph" w:customStyle="1" w:styleId="NumPar4">
    <w:name w:val="NumPar 4"/>
    <w:basedOn w:val="Normal"/>
    <w:next w:val="Text1"/>
    <w:pPr>
      <w:numPr>
        <w:ilvl w:val="3"/>
        <w:numId w:val="28"/>
      </w:numPr>
    </w:pPr>
  </w:style>
  <w:style w:type="paragraph" w:customStyle="1" w:styleId="NumPar5">
    <w:name w:val="NumPar 5"/>
    <w:basedOn w:val="Normal"/>
    <w:next w:val="Text2"/>
    <w:pPr>
      <w:numPr>
        <w:ilvl w:val="4"/>
        <w:numId w:val="28"/>
      </w:numPr>
    </w:pPr>
  </w:style>
  <w:style w:type="paragraph" w:customStyle="1" w:styleId="NumPar6">
    <w:name w:val="NumPar 6"/>
    <w:basedOn w:val="Normal"/>
    <w:next w:val="Text2"/>
    <w:pPr>
      <w:numPr>
        <w:ilvl w:val="5"/>
        <w:numId w:val="28"/>
      </w:numPr>
    </w:pPr>
  </w:style>
  <w:style w:type="paragraph" w:customStyle="1" w:styleId="NumPar7">
    <w:name w:val="NumPar 7"/>
    <w:basedOn w:val="Normal"/>
    <w:next w:val="Text2"/>
    <w:pPr>
      <w:numPr>
        <w:ilvl w:val="6"/>
        <w:numId w:val="28"/>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0"/>
      </w:numPr>
    </w:pPr>
  </w:style>
  <w:style w:type="paragraph" w:customStyle="1" w:styleId="Point1number">
    <w:name w:val="Point 1 (number)"/>
    <w:basedOn w:val="Normal"/>
    <w:pPr>
      <w:numPr>
        <w:ilvl w:val="2"/>
        <w:numId w:val="30"/>
      </w:numPr>
    </w:pPr>
  </w:style>
  <w:style w:type="paragraph" w:customStyle="1" w:styleId="Point2number">
    <w:name w:val="Point 2 (number)"/>
    <w:basedOn w:val="Normal"/>
    <w:pPr>
      <w:numPr>
        <w:ilvl w:val="4"/>
        <w:numId w:val="30"/>
      </w:numPr>
    </w:pPr>
  </w:style>
  <w:style w:type="paragraph" w:customStyle="1" w:styleId="Point3number">
    <w:name w:val="Point 3 (number)"/>
    <w:basedOn w:val="Normal"/>
    <w:pPr>
      <w:numPr>
        <w:ilvl w:val="6"/>
        <w:numId w:val="30"/>
      </w:numPr>
    </w:pPr>
  </w:style>
  <w:style w:type="paragraph" w:customStyle="1" w:styleId="Point0letter">
    <w:name w:val="Point 0 (letter)"/>
    <w:basedOn w:val="Normal"/>
    <w:pPr>
      <w:numPr>
        <w:ilvl w:val="1"/>
        <w:numId w:val="30"/>
      </w:numPr>
    </w:pPr>
  </w:style>
  <w:style w:type="paragraph" w:customStyle="1" w:styleId="Point1letter">
    <w:name w:val="Point 1 (letter)"/>
    <w:basedOn w:val="Normal"/>
    <w:pPr>
      <w:numPr>
        <w:ilvl w:val="3"/>
        <w:numId w:val="30"/>
      </w:numPr>
    </w:pPr>
  </w:style>
  <w:style w:type="paragraph" w:customStyle="1" w:styleId="Point2letter">
    <w:name w:val="Point 2 (letter)"/>
    <w:basedOn w:val="Normal"/>
    <w:pPr>
      <w:numPr>
        <w:ilvl w:val="5"/>
        <w:numId w:val="30"/>
      </w:numPr>
    </w:pPr>
  </w:style>
  <w:style w:type="paragraph" w:customStyle="1" w:styleId="Point3letter">
    <w:name w:val="Point 3 (letter)"/>
    <w:basedOn w:val="Normal"/>
    <w:pPr>
      <w:numPr>
        <w:ilvl w:val="7"/>
        <w:numId w:val="30"/>
      </w:numPr>
    </w:pPr>
  </w:style>
  <w:style w:type="paragraph" w:customStyle="1" w:styleId="Point4letter">
    <w:name w:val="Point 4 (letter)"/>
    <w:basedOn w:val="Normal"/>
    <w:pPr>
      <w:numPr>
        <w:ilvl w:val="8"/>
        <w:numId w:val="30"/>
      </w:numPr>
    </w:pPr>
  </w:style>
  <w:style w:type="paragraph" w:customStyle="1" w:styleId="Bullet0">
    <w:name w:val="Bullet 0"/>
    <w:basedOn w:val="Normal"/>
    <w:pPr>
      <w:numPr>
        <w:numId w:val="31"/>
      </w:numPr>
    </w:pPr>
  </w:style>
  <w:style w:type="paragraph" w:customStyle="1" w:styleId="Bullet1">
    <w:name w:val="Bullet 1"/>
    <w:basedOn w:val="Normal"/>
    <w:pPr>
      <w:numPr>
        <w:numId w:val="32"/>
      </w:numPr>
    </w:pPr>
  </w:style>
  <w:style w:type="paragraph" w:customStyle="1" w:styleId="Bullet2">
    <w:name w:val="Bullet 2"/>
    <w:basedOn w:val="Normal"/>
    <w:pPr>
      <w:numPr>
        <w:numId w:val="33"/>
      </w:numPr>
    </w:pPr>
  </w:style>
  <w:style w:type="paragraph" w:customStyle="1" w:styleId="Bullet3">
    <w:name w:val="Bullet 3"/>
    <w:basedOn w:val="Normal"/>
    <w:pPr>
      <w:numPr>
        <w:numId w:val="34"/>
      </w:numPr>
    </w:pPr>
  </w:style>
  <w:style w:type="paragraph" w:customStyle="1" w:styleId="Bullet4">
    <w:name w:val="Bullet 4"/>
    <w:basedOn w:val="Normal"/>
    <w:pPr>
      <w:numPr>
        <w:numId w:val="35"/>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6"/>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character" w:styleId="PlaceholderText">
    <w:name w:val="Placeholder Text"/>
    <w:basedOn w:val="DefaultParagraphFont"/>
    <w:uiPriority w:val="99"/>
    <w:semiHidden/>
    <w:rsid w:val="00B70E85"/>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glossaryDocument" Target="glossary/document.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microsoft.com/office/2011/relationships/people" Target="people.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7.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6.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_impl/2024/425/oj?utm_source=chatgpt.com" TargetMode="External"/><Relationship Id="rId13" Type="http://schemas.openxmlformats.org/officeDocument/2006/relationships/hyperlink" Target="http://data.europa.eu/eli/reg_impl/2015/1982/oj?utm_source=chatgpt.com" TargetMode="External"/><Relationship Id="rId18" Type="http://schemas.openxmlformats.org/officeDocument/2006/relationships/hyperlink" Target="http://data.europa.eu/eli/reg_impl/2017/1383/oj?utm_source=chatgpt.com" TargetMode="External"/><Relationship Id="rId3" Type="http://schemas.openxmlformats.org/officeDocument/2006/relationships/hyperlink" Target="http://data.europa.eu/eli/reg_impl/2020/1498/oj?utm_source=chatgpt.com" TargetMode="External"/><Relationship Id="rId21" Type="http://schemas.openxmlformats.org/officeDocument/2006/relationships/hyperlink" Target="http://data.europa.eu/eli/dec_impl/2023/459/oj?utm_source=chatgpt.com" TargetMode="External"/><Relationship Id="rId7" Type="http://schemas.openxmlformats.org/officeDocument/2006/relationships/hyperlink" Target="http://data.europa.eu/eli/reg_impl/2023/2513/oj?utm_source=chatgpt.com" TargetMode="External"/><Relationship Id="rId12" Type="http://schemas.openxmlformats.org/officeDocument/2006/relationships/hyperlink" Target="http://data.europa.eu/eli/reg_impl/2025/910/oj?utm_source=chatgpt.com" TargetMode="External"/><Relationship Id="rId17" Type="http://schemas.openxmlformats.org/officeDocument/2006/relationships/hyperlink" Target="http://data.europa.eu/eli/reg_impl/2017/1382/oj?utm_source=chatgpt.com" TargetMode="External"/><Relationship Id="rId2" Type="http://schemas.openxmlformats.org/officeDocument/2006/relationships/hyperlink" Target="http://data.europa.eu/eli/reg_impl/2018/1914/oj" TargetMode="External"/><Relationship Id="rId16" Type="http://schemas.openxmlformats.org/officeDocument/2006/relationships/hyperlink" Target="http://data.europa.eu/eli/reg_impl/2017/1379/oj?utm_source=chatgpt.com" TargetMode="External"/><Relationship Id="rId20" Type="http://schemas.openxmlformats.org/officeDocument/2006/relationships/hyperlink" Target="http://data.europa.eu/eli/reg_impl/2022/1950/oj?utm_source=chatgpt.com" TargetMode="External"/><Relationship Id="rId1" Type="http://schemas.openxmlformats.org/officeDocument/2006/relationships/hyperlink" Target="https://echa.europa.eu/candidate-list-table" TargetMode="External"/><Relationship Id="rId6" Type="http://schemas.openxmlformats.org/officeDocument/2006/relationships/hyperlink" Target="http://data.europa.eu/eli/reg_impl/2023/2456/oj?utm_source=chatgpt.com" TargetMode="External"/><Relationship Id="rId11" Type="http://schemas.openxmlformats.org/officeDocument/2006/relationships/hyperlink" Target="http://data.europa.eu/eli/reg_impl/2024/2806/oj?utm_source=chatgpt.com" TargetMode="External"/><Relationship Id="rId5" Type="http://schemas.openxmlformats.org/officeDocument/2006/relationships/hyperlink" Target="http://data.europa.eu/eli/reg_impl/2023/2657/oj?utm_source=chatgpt.com" TargetMode="External"/><Relationship Id="rId15" Type="http://schemas.openxmlformats.org/officeDocument/2006/relationships/hyperlink" Target="http://data.europa.eu/eli/reg_impl/2017/1380/oj?utm_source=chatgpt.com" TargetMode="External"/><Relationship Id="rId23" Type="http://schemas.openxmlformats.org/officeDocument/2006/relationships/hyperlink" Target="http://data.europa.eu/eli/reg_impl/2023/2596/oj?utm_source=chatgpt.com" TargetMode="External"/><Relationship Id="rId10" Type="http://schemas.openxmlformats.org/officeDocument/2006/relationships/hyperlink" Target="http://data.europa.eu/eli/reg_impl/2024/1207/oj?utm_source=chatgpt.com" TargetMode="External"/><Relationship Id="rId19" Type="http://schemas.openxmlformats.org/officeDocument/2006/relationships/hyperlink" Target="http://data.europa.eu/eli/reg_impl/2019/637/oj?utm_source=chatgpt.com" TargetMode="External"/><Relationship Id="rId4" Type="http://schemas.openxmlformats.org/officeDocument/2006/relationships/hyperlink" Target="http://data.europa.eu/eli/reg_impl/2020/2087/oj?utm_source=chatgpt.com" TargetMode="External"/><Relationship Id="rId9" Type="http://schemas.openxmlformats.org/officeDocument/2006/relationships/hyperlink" Target="http://data.europa.eu/eli/reg_impl/2024/1217/oj?utm_source=chatgpt.com" TargetMode="External"/><Relationship Id="rId14" Type="http://schemas.openxmlformats.org/officeDocument/2006/relationships/hyperlink" Target="http://data.europa.eu/eli/reg_impl/2017/1381/oj?utm_source=chatgpt.com" TargetMode="External"/><Relationship Id="rId22" Type="http://schemas.openxmlformats.org/officeDocument/2006/relationships/hyperlink" Target="http://data.europa.eu/eli/dec_impl/2023/1097/oj?utm_source=chatgpt.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39CD843F-4FFA-4271-9D66-2538AB576748}"/>
      </w:docPartPr>
      <w:docPartBody>
        <w:p w:rsidR="009F3E3E" w:rsidRDefault="000F533F">
          <w:r w:rsidRPr="00982F93">
            <w:rPr>
              <w:rStyle w:val="PlaceholderText"/>
              <w:lang w:val="en-US"/>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33F"/>
    <w:rsid w:val="00035C39"/>
    <w:rsid w:val="000F533F"/>
    <w:rsid w:val="009F3E3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E" w:eastAsia="en-I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F533F"/>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1bb61ae-4eb0-490b-ba48-c0c5dc4c96a6">
      <Terms xmlns="http://schemas.microsoft.com/office/infopath/2007/PartnerControls"/>
    </lcf76f155ced4ddcb4097134ff3c332f>
    <TaxCatchAll xmlns="af05a2db-3601-44e1-93e6-f514361b52e2" xsi:nil="true"/>
    <_ip_UnifiedCompliancePolicyUIAction xmlns="http://schemas.microsoft.com/sharepoint/v3" xsi:nil="true"/>
    <_ip_UnifiedCompliancePolicyProperties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03A239B908BBE498C73AEE59BE8FAFB" ma:contentTypeVersion="18" ma:contentTypeDescription="Create a new document." ma:contentTypeScope="" ma:versionID="3330ecb3622727ff367797dbf9871f83">
  <xsd:schema xmlns:xsd="http://www.w3.org/2001/XMLSchema" xmlns:xs="http://www.w3.org/2001/XMLSchema" xmlns:p="http://schemas.microsoft.com/office/2006/metadata/properties" xmlns:ns1="http://schemas.microsoft.com/sharepoint/v3" xmlns:ns2="01bb61ae-4eb0-490b-ba48-c0c5dc4c96a6" xmlns:ns3="af05a2db-3601-44e1-93e6-f514361b52e2" targetNamespace="http://schemas.microsoft.com/office/2006/metadata/properties" ma:root="true" ma:fieldsID="f15fcbfa7002c314063c93534ba70c56" ns1:_="" ns2:_="" ns3:_="">
    <xsd:import namespace="http://schemas.microsoft.com/sharepoint/v3"/>
    <xsd:import namespace="01bb61ae-4eb0-490b-ba48-c0c5dc4c96a6"/>
    <xsd:import namespace="af05a2db-3601-44e1-93e6-f514361b52e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DateTaken"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4" nillable="true" ma:displayName="Unified Compliance Policy Properties" ma:hidden="true" ma:internalName="_ip_UnifiedCompliancePolicyProperties">
      <xsd:simpleType>
        <xsd:restriction base="dms:Note"/>
      </xsd:simpleType>
    </xsd:element>
    <xsd:element name="_ip_UnifiedCompliancePolicyUIAction" ma:index="1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1bb61ae-4eb0-490b-ba48-c0c5dc4c96a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DateTaken" ma:index="23" nillable="true" ma:displayName="MediaServiceDateTaken" ma:hidden="true" ma:indexed="true" ma:internalName="MediaServiceDateTaken"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f05a2db-3601-44e1-93e6-f514361b52e2"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c86c3fce-95ae-42b2-81d1-53002bf43715}" ma:internalName="TaxCatchAll" ma:showField="CatchAllData" ma:web="af05a2db-3601-44e1-93e6-f514361b52e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78EC89-8151-47D7-95F8-435959EC958D}">
  <ds:schemaRefs>
    <ds:schemaRef ds:uri="http://schemas.microsoft.com/office/2006/metadata/properties"/>
    <ds:schemaRef ds:uri="http://schemas.microsoft.com/office/infopath/2007/PartnerControls"/>
    <ds:schemaRef ds:uri="01bb61ae-4eb0-490b-ba48-c0c5dc4c96a6"/>
    <ds:schemaRef ds:uri="af05a2db-3601-44e1-93e6-f514361b52e2"/>
    <ds:schemaRef ds:uri="http://schemas.microsoft.com/sharepoint/v3"/>
  </ds:schemaRefs>
</ds:datastoreItem>
</file>

<file path=customXml/itemProps2.xml><?xml version="1.0" encoding="utf-8"?>
<ds:datastoreItem xmlns:ds="http://schemas.openxmlformats.org/officeDocument/2006/customXml" ds:itemID="{1B17FD6B-70A7-4AA3-8B92-CB5A15D819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1bb61ae-4eb0-490b-ba48-c0c5dc4c96a6"/>
    <ds:schemaRef ds:uri="af05a2db-3601-44e1-93e6-f514361b52e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7353D9D-1388-45B3-96F1-D5597F88ADAA}">
  <ds:schemaRefs>
    <ds:schemaRef ds:uri="http://schemas.microsoft.com/sharepoint/v3/contenttype/forms"/>
  </ds:schemaRefs>
</ds:datastoreItem>
</file>

<file path=customXml/itemProps4.xml><?xml version="1.0" encoding="utf-8"?>
<ds:datastoreItem xmlns:ds="http://schemas.openxmlformats.org/officeDocument/2006/customXml" ds:itemID="{15F25896-1FD3-40CE-B500-E34E9DF0AC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22</TotalTime>
  <Pages>9</Pages>
  <Words>2391</Words>
  <Characters>13510</Characters>
  <Application>Microsoft Office Word</Application>
  <DocSecurity>0</DocSecurity>
  <Lines>482</Lines>
  <Paragraphs>278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LINTU Ioana (ENV)</dc:creator>
  <cp:keywords/>
  <dc:description/>
  <cp:lastModifiedBy>CLIFFORD Grace (ENV)</cp:lastModifiedBy>
  <cp:revision>19</cp:revision>
  <dcterms:created xsi:type="dcterms:W3CDTF">2026-10-19T14:29:00Z</dcterms:created>
  <dcterms:modified xsi:type="dcterms:W3CDTF">2026-10-19T15:00:00Z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COM/AA</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SJ-003</vt:lpwstr>
  </property>
  <property fmtid="{D5CDD505-2E9C-101B-9397-08002B2CF9AE}" pid="10" name="MSIP_Label_6bd9ddd1-4d20-43f6-abfa-fc3c07406f94_Enabled">
    <vt:lpwstr>true</vt:lpwstr>
  </property>
  <property fmtid="{D5CDD505-2E9C-101B-9397-08002B2CF9AE}" pid="11" name="MSIP_Label_6bd9ddd1-4d20-43f6-abfa-fc3c07406f94_SetDate">
    <vt:lpwstr>2026-04-02T09:28:10Z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4991d874-0b5a-4412-8ec0-71da63891e84</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ContentTypeId">
    <vt:lpwstr>0x010100303A239B908BBE498C73AEE59BE8FAFB</vt:lpwstr>
  </property>
  <property fmtid="{D5CDD505-2E9C-101B-9397-08002B2CF9AE}" pid="19" name="MediaServiceImageTags">
    <vt:lpwstr/>
  </property>
  <property fmtid="{D5CDD505-2E9C-101B-9397-08002B2CF9AE}" pid="20" name="DQCStatus">
    <vt:lpwstr>Yellow (DQC version 03)</vt:lpwstr>
  </property>
</Properties>
</file>