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28" w:type="dxa"/>
        <w:tblLayout w:type="fixed"/>
        <w:tblCellMar>
          <w:top w:w="28" w:type="dxa"/>
          <w:left w:w="28" w:type="dxa"/>
          <w:bottom w:w="28" w:type="dxa"/>
          <w:right w:w="28" w:type="dxa"/>
        </w:tblCellMar>
        <w:tblLook w:val="0000" w:firstRow="0" w:lastRow="0" w:firstColumn="0" w:lastColumn="0" w:noHBand="0" w:noVBand="0"/>
      </w:tblPr>
      <w:tblGrid>
        <w:gridCol w:w="2265"/>
        <w:gridCol w:w="7336"/>
      </w:tblGrid>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i/>
              </w:rPr>
            </w:pPr>
            <w:r>
              <w:rPr>
                <w:rFonts w:cs="Calibri"/>
              </w:rPr>
              <w:t>Scientific name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Heading3"/>
            </w:pPr>
            <w:bookmarkStart w:id="0" w:name="_Toc410826094"/>
            <w:r>
              <w:t>Procambarus clarkii</w:t>
            </w:r>
            <w:bookmarkEnd w:id="0"/>
            <w:r>
              <w:t xml:space="preserve"> </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Common name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pPr>
            <w:r>
              <w:rPr>
                <w:rFonts w:cs="Calibri"/>
              </w:rPr>
              <w:t>Red Swamp Crayfish</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Broad group</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pPr>
            <w:r>
              <w:rPr>
                <w:rFonts w:cs="Calibri"/>
              </w:rPr>
              <w:t>Invertebrate</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Number of and countries wherein the species is currently established</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pPr>
            <w:r>
              <w:rPr>
                <w:rFonts w:cs="Calibri"/>
              </w:rPr>
              <w:t>10: AT, BE, DE, ES, FR, IT, NL, PL?, PT, UK</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Risk Assessment Method</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pPr>
            <w:r>
              <w:rPr>
                <w:rFonts w:cs="Calibri"/>
              </w:rPr>
              <w:t>GB NNRA</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Links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rPr>
                <w:rFonts w:cs="Calibri"/>
              </w:rPr>
            </w:pPr>
            <w:r w:rsidRPr="000F21A7">
              <w:rPr>
                <w:rFonts w:asciiTheme="majorHAnsi" w:hAnsiTheme="majorHAnsi" w:cs="Verdana"/>
                <w:sz w:val="22"/>
                <w:szCs w:val="22"/>
                <w:lang w:eastAsia="it-IT"/>
              </w:rPr>
              <w:t>http://www.nonnativespecies.org/downloadDocument.cfm?id=46</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1. Description (Taxonomy, invasion history, distribution range (native and introduced), geographic scope, socio-economic benefits)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rPr>
                <w:rFonts w:cs="Calibri"/>
              </w:rPr>
            </w:pPr>
            <w:r>
              <w:rPr>
                <w:rFonts w:cs="Calibri"/>
              </w:rPr>
              <w:t xml:space="preserve">Other EU countries where the species is found (2): </w:t>
            </w:r>
          </w:p>
          <w:p w:rsidR="00727DC1" w:rsidRDefault="00727DC1" w:rsidP="00C459D7">
            <w:pPr>
              <w:pStyle w:val="TableContents"/>
              <w:rPr>
                <w:rFonts w:cs="Calibri"/>
              </w:rPr>
            </w:pPr>
            <w:r>
              <w:rPr>
                <w:rFonts w:cs="Calibri"/>
              </w:rPr>
              <w:t xml:space="preserve">Austria, Cyprus </w:t>
            </w:r>
            <w:r>
              <w:rPr>
                <w:rFonts w:cs="Calibri"/>
              </w:rPr>
              <w:fldChar w:fldCharType="begin"/>
            </w:r>
            <w:r>
              <w:rPr>
                <w:rFonts w:cs="Calibri"/>
              </w:rP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rPr>
                <w:rFonts w:cs="Calibri"/>
              </w:rPr>
              <w:fldChar w:fldCharType="separate"/>
            </w:r>
            <w:r>
              <w:rPr>
                <w:rFonts w:cs="Calibri"/>
                <w:noProof/>
              </w:rPr>
              <w:t>(</w:t>
            </w:r>
            <w:hyperlink w:anchor="_ENREF_147" w:tooltip="Holdich, 2009 #450" w:history="1">
              <w:r>
                <w:rPr>
                  <w:rFonts w:cs="Calibri"/>
                  <w:noProof/>
                </w:rPr>
                <w:t>Holdich</w:t>
              </w:r>
              <w:r w:rsidRPr="00C3738B">
                <w:rPr>
                  <w:rFonts w:cs="Calibri"/>
                  <w:i/>
                  <w:noProof/>
                </w:rPr>
                <w:t xml:space="preserve"> et al.</w:t>
              </w:r>
              <w:r>
                <w:rPr>
                  <w:rFonts w:cs="Calibri"/>
                  <w:noProof/>
                </w:rPr>
                <w:t>, 2009</w:t>
              </w:r>
            </w:hyperlink>
            <w:r>
              <w:rPr>
                <w:rFonts w:cs="Calibri"/>
                <w:noProof/>
              </w:rPr>
              <w:t>)</w:t>
            </w:r>
            <w:r>
              <w:rPr>
                <w:rFonts w:cs="Calibri"/>
              </w:rPr>
              <w:fldChar w:fldCharType="end"/>
            </w:r>
            <w:r>
              <w:rPr>
                <w:rFonts w:cs="Calibri"/>
              </w:rPr>
              <w:t>.</w:t>
            </w:r>
          </w:p>
          <w:p w:rsidR="00727DC1" w:rsidRDefault="00727DC1" w:rsidP="00C459D7">
            <w:pPr>
              <w:pStyle w:val="TableContents"/>
              <w:rPr>
                <w:rFonts w:cs="Calibri"/>
              </w:rPr>
            </w:pPr>
            <w:r>
              <w:rPr>
                <w:rFonts w:cs="Calibri"/>
              </w:rPr>
              <w:br/>
              <w:t>Currently established populations are found in the following EU member states:</w:t>
            </w:r>
            <w:r>
              <w:rPr>
                <w:rFonts w:cs="Calibri"/>
              </w:rPr>
              <w:br/>
              <w:t>The majority of populations are found in Spain, Italy and France. Wild populations of the species also exist in: Portugal, Belgium, the Netherlands, Germany, Austria, Czech Republic and England.</w:t>
            </w:r>
          </w:p>
          <w:p w:rsidR="00727DC1" w:rsidRDefault="00727DC1" w:rsidP="00C459D7">
            <w:pPr>
              <w:pStyle w:val="TableContents"/>
              <w:rPr>
                <w:rFonts w:cs="Calibri"/>
              </w:rPr>
            </w:pPr>
            <w:r>
              <w:rPr>
                <w:rFonts w:cs="Calibri"/>
              </w:rPr>
              <w:br/>
              <w:t>The species shows signs of invasiveness in the following EU member states:</w:t>
            </w:r>
            <w:r>
              <w:rPr>
                <w:rFonts w:cs="Calibri"/>
              </w:rPr>
              <w:br/>
              <w:t>All EU member states recorded although levels of invasiveness may vary, but this may due to a lack of scientific evidence.</w:t>
            </w:r>
          </w:p>
          <w:p w:rsidR="00727DC1" w:rsidRDefault="00727DC1" w:rsidP="00C459D7">
            <w:pPr>
              <w:pStyle w:val="TableContents"/>
              <w:rPr>
                <w:rFonts w:cs="Calibri"/>
              </w:rPr>
            </w:pPr>
            <w:r>
              <w:rPr>
                <w:rFonts w:cs="Calibri"/>
              </w:rPr>
              <w:br/>
              <w:t xml:space="preserve">The species can establish in the following EU Biogeographic areas: </w:t>
            </w:r>
            <w:r>
              <w:rPr>
                <w:rFonts w:cs="Calibri"/>
              </w:rPr>
              <w:br/>
              <w:t>Atlantic, continental, Mediterranean, Macaronesia, Pannonian, Steppic, Black Sea, possibly Boreal.</w:t>
            </w:r>
          </w:p>
          <w:p w:rsidR="00727DC1" w:rsidRDefault="00727DC1" w:rsidP="00C459D7">
            <w:pPr>
              <w:pStyle w:val="TableContents"/>
              <w:rPr>
                <w:rFonts w:cs="Calibri"/>
              </w:rPr>
            </w:pPr>
            <w:r>
              <w:rPr>
                <w:rFonts w:cs="Calibri"/>
              </w:rPr>
              <w:br/>
              <w:t>It could establish in the future [given current climate] (including those where it is already established) in the following EU member states:</w:t>
            </w:r>
            <w:r>
              <w:rPr>
                <w:rFonts w:cs="Calibri"/>
              </w:rPr>
              <w:br/>
              <w:t>Portugal, Belgium, the Netherlands, Germany, Austria, Czech Republic and the UK.</w:t>
            </w:r>
          </w:p>
          <w:p w:rsidR="00727DC1" w:rsidRDefault="00727DC1" w:rsidP="00C459D7">
            <w:pPr>
              <w:pStyle w:val="TableContents"/>
              <w:rPr>
                <w:rFonts w:cs="Calibri"/>
              </w:rPr>
            </w:pPr>
            <w:r>
              <w:rPr>
                <w:rFonts w:cs="Calibri"/>
              </w:rPr>
              <w:br/>
              <w:t>This species could become invasive in the future [given current climate] (where it is not already established) in the following MS:</w:t>
            </w:r>
            <w:r>
              <w:rPr>
                <w:rFonts w:cs="Calibri"/>
              </w:rPr>
              <w:br/>
              <w:t>Poland, Slovakia, Slovenia, Greece, Romania, Croatia, Bulgaria.</w:t>
            </w:r>
          </w:p>
          <w:p w:rsidR="00727DC1" w:rsidRDefault="00727DC1" w:rsidP="00C459D7">
            <w:pPr>
              <w:pStyle w:val="TableContents"/>
              <w:rPr>
                <w:rFonts w:cs="Calibri"/>
              </w:rPr>
            </w:pPr>
            <w:r>
              <w:rPr>
                <w:rFonts w:cs="Calibri"/>
              </w:rPr>
              <w:br/>
            </w:r>
            <w:r>
              <w:rPr>
                <w:rFonts w:cs="Calibri"/>
              </w:rPr>
              <w:lastRenderedPageBreak/>
              <w:t xml:space="preserve">Socio-economic benefits: </w:t>
            </w:r>
            <w:r>
              <w:rPr>
                <w:rFonts w:cs="Calibri"/>
                <w:i/>
              </w:rPr>
              <w:t>P. clarkii</w:t>
            </w:r>
            <w:r>
              <w:rPr>
                <w:rFonts w:cs="Calibri"/>
              </w:rPr>
              <w:t xml:space="preserve"> is used as human food for domestic consumption and/or export. The red swamp crawfish has also been introduced as food for fishes, and for other species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 xml:space="preserve">. In addition, </w:t>
            </w:r>
            <w:r>
              <w:rPr>
                <w:rFonts w:cs="Calibri"/>
                <w:i/>
              </w:rPr>
              <w:t>P. clarkii</w:t>
            </w:r>
            <w:r>
              <w:rPr>
                <w:rFonts w:cs="Calibri"/>
              </w:rPr>
              <w:t xml:space="preserve"> has become one of the most popular crayfish species in the European aquarium trade </w:t>
            </w:r>
            <w:r>
              <w:rPr>
                <w:rFonts w:cs="Calibri"/>
              </w:rPr>
              <w:fldChar w:fldCharType="begin"/>
            </w:r>
            <w:r>
              <w:rPr>
                <w:rFonts w:cs="Calibri"/>
              </w:rPr>
              <w:instrText xml:space="preserve"> ADDIN EN.CITE &lt;EndNote&gt;&lt;Cite&gt;&lt;Author&gt;Chucholl&lt;/Author&gt;&lt;Year&gt;2013&lt;/Year&gt;&lt;RecNum&gt;449&lt;/RecNum&gt;&lt;DisplayText&gt;(Chucholl, 2013)&lt;/DisplayText&gt;&lt;record&gt;&lt;rec-number&gt;449&lt;/rec-number&gt;&lt;foreign-keys&gt;&lt;key app="EN" db-id="0raex5eaedzazoespa0vpwvos95da9w2wewr"&gt;449&lt;/key&gt;&lt;/foreign-keys&gt;&lt;ref-type name="Journal Article"&gt;17&lt;/ref-type&gt;&lt;contributors&gt;&lt;authors&gt;&lt;author&gt;Chucholl, Christoph&lt;/author&gt;&lt;/authors&gt;&lt;/contributors&gt;&lt;titles&gt;&lt;title&gt;Invaders for sale: trade and determinants of introduction of ornamental freshwater crayfish&lt;/title&gt;&lt;secondary-title&gt;Biological invasions&lt;/secondary-title&gt;&lt;/titles&gt;&lt;periodical&gt;&lt;full-title&gt;Biological Invasions&lt;/full-title&gt;&lt;/periodical&gt;&lt;pages&gt;125-141&lt;/pages&gt;&lt;volume&gt;15&lt;/volume&gt;&lt;number&gt;1&lt;/number&gt;&lt;dates&gt;&lt;year&gt;2013&lt;/year&gt;&lt;/dates&gt;&lt;isbn&gt;1387-3547&lt;/isbn&gt;&lt;urls&gt;&lt;/urls&gt;&lt;/record&gt;&lt;/Cite&gt;&lt;/EndNote&gt;</w:instrText>
            </w:r>
            <w:r>
              <w:rPr>
                <w:rFonts w:cs="Calibri"/>
              </w:rPr>
              <w:fldChar w:fldCharType="separate"/>
            </w:r>
            <w:r>
              <w:rPr>
                <w:rFonts w:cs="Calibri"/>
                <w:noProof/>
              </w:rPr>
              <w:t>(</w:t>
            </w:r>
            <w:hyperlink w:anchor="_ENREF_63" w:tooltip="Chucholl, 2013 #449" w:history="1">
              <w:r>
                <w:rPr>
                  <w:rFonts w:cs="Calibri"/>
                  <w:noProof/>
                </w:rPr>
                <w:t>Chucholl, 2013</w:t>
              </w:r>
            </w:hyperlink>
            <w:r>
              <w:rPr>
                <w:rFonts w:cs="Calibri"/>
                <w:noProof/>
              </w:rPr>
              <w:t>)</w:t>
            </w:r>
            <w:r>
              <w:rPr>
                <w:rFonts w:cs="Calibri"/>
              </w:rPr>
              <w:fldChar w:fldCharType="end"/>
            </w:r>
            <w:r>
              <w:rPr>
                <w:rFonts w:cs="Calibri"/>
              </w:rPr>
              <w:t>.</w:t>
            </w:r>
          </w:p>
          <w:p w:rsidR="00727DC1" w:rsidRDefault="00727DC1" w:rsidP="00C459D7">
            <w:pPr>
              <w:pStyle w:val="TableContents"/>
            </w:pPr>
            <w:r>
              <w:rPr>
                <w:rFonts w:cs="Calibri"/>
              </w:rPr>
              <w:t xml:space="preserve"> </w:t>
            </w:r>
            <w:r>
              <w:rPr>
                <w:rFonts w:cs="Calibri"/>
              </w:rPr>
              <w:br/>
              <w:t xml:space="preserve">The species is cultured and captured extensively for human consumption in its native range and introduced range e.g. Spain and China. In Andalucía (Spain) the local economy has been revitalised as a result of wild harvesting of </w:t>
            </w:r>
            <w:r>
              <w:rPr>
                <w:rFonts w:cs="Calibri"/>
                <w:i/>
              </w:rPr>
              <w:t>P. clarkii</w:t>
            </w:r>
            <w:r>
              <w:rPr>
                <w:rFonts w:cs="Calibri"/>
              </w:rPr>
              <w:t>. Production figures of between 3000-5000 tonnes per annum are likely under estimates. Exploitation in Italy has met with little success due to low demand. Production is very low in Europe however, in comparison to the USA and China (50,000 and 70,000 tonnes per annum respectively).</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lastRenderedPageBreak/>
              <w:t>4. Has the capacity to assess multiple pathways of entry and spread in the assessment, both intentional and unintentional</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pPr>
            <w:r>
              <w:rPr>
                <w:rFonts w:cs="Calibri"/>
              </w:rPr>
              <w:t xml:space="preserve">In some cases, introductions have been accidental (e.g., through canals, escapes from holding facilities), but most have been deliberate (for aquaculture, legal and illegal stocking, and live food trade, as aquarium pets and live bait, for snail and weed control, and as supplies for science classes)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 xml:space="preserve">. </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5. Can broadly assess environmental impact with respect to biodiversity and ecosystem patterns and processes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pPr>
            <w:r>
              <w:rPr>
                <w:rFonts w:cs="Calibri"/>
              </w:rPr>
              <w:t xml:space="preserve">Crayfish cause major environmental impacts in Europe by outcompeting native species and altering habitat structure. Alien crayfish, such as </w:t>
            </w:r>
            <w:r>
              <w:rPr>
                <w:rFonts w:cs="Calibri"/>
                <w:i/>
              </w:rPr>
              <w:t>P. clarkii</w:t>
            </w:r>
            <w:r>
              <w:rPr>
                <w:rFonts w:cs="Calibri"/>
              </w:rPr>
              <w:t xml:space="preserve"> and </w:t>
            </w:r>
            <w:r>
              <w:rPr>
                <w:rFonts w:cs="Calibri"/>
                <w:i/>
              </w:rPr>
              <w:t>Pacifastacus leniusculus</w:t>
            </w:r>
            <w:r>
              <w:rPr>
                <w:rFonts w:cs="Calibri"/>
              </w:rPr>
              <w:t xml:space="preserve">, are responsible for the largest range of impacts (i.e., crayfish plague dissemination, bioaccumulation of pollutants, community dominance, competition and predation on native species, habitat modifications, food web impairment, herbivory and macrophyte removal)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w:t>
            </w:r>
          </w:p>
        </w:tc>
      </w:tr>
      <w:tr w:rsidR="00727DC1" w:rsidRPr="006F6C8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6. Can broadly assess environmental impact with respect to ecosystem services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rPr>
                <w:rFonts w:cs="Calibri"/>
              </w:rPr>
            </w:pPr>
            <w:r>
              <w:rPr>
                <w:rFonts w:cs="Calibri"/>
              </w:rPr>
              <w:t xml:space="preserve">Summary of impacts of the red swamp crawfish </w:t>
            </w:r>
            <w:r>
              <w:rPr>
                <w:rFonts w:cs="Calibri"/>
                <w:i/>
              </w:rPr>
              <w:t>P. clarkii</w:t>
            </w:r>
            <w:r>
              <w:rPr>
                <w:rFonts w:cs="Calibri"/>
              </w:rPr>
              <w:t xml:space="preserve"> on the four categories of ecosystem services (provisioning, regulating, supporting, and cultural services have been reviewed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w:t>
            </w:r>
          </w:p>
          <w:p w:rsidR="00727DC1" w:rsidRDefault="00727DC1" w:rsidP="00C459D7">
            <w:pPr>
              <w:pStyle w:val="TableContents"/>
              <w:rPr>
                <w:rFonts w:cs="Calibri"/>
              </w:rPr>
            </w:pPr>
            <w:r>
              <w:rPr>
                <w:rFonts w:cs="Calibri"/>
              </w:rPr>
              <w:t xml:space="preserve"> </w:t>
            </w:r>
            <w:r>
              <w:rPr>
                <w:rFonts w:cs="Calibri"/>
              </w:rPr>
              <w:br/>
            </w:r>
            <w:r>
              <w:rPr>
                <w:rFonts w:cs="Calibri"/>
                <w:i/>
              </w:rPr>
              <w:t>Procambarus clarkii</w:t>
            </w:r>
            <w:r>
              <w:rPr>
                <w:rFonts w:cs="Calibri"/>
              </w:rPr>
              <w:t xml:space="preserve"> burrows extensively destabilising banks and increasing turbidity. The species also has significant negative effect on plants and animals causing changes to food web structure. Impacts on ecosystem services include (but are not limited to):</w:t>
            </w:r>
            <w:r>
              <w:rPr>
                <w:rFonts w:cs="Calibri"/>
              </w:rPr>
              <w:br/>
              <w:t xml:space="preserve">• Supporting services- burrowing will lead to destabilisation of river banks and water ways may become shallower and therefore more susceptible to </w:t>
            </w:r>
            <w:r>
              <w:rPr>
                <w:rFonts w:cs="Calibri"/>
              </w:rPr>
              <w:lastRenderedPageBreak/>
              <w:t xml:space="preserve">flooding and flood related damage. Significant changes in the entire ecosystem resulting from the introduction of </w:t>
            </w:r>
            <w:r>
              <w:rPr>
                <w:rFonts w:cs="Calibri"/>
                <w:i/>
              </w:rPr>
              <w:t>P. clarkii</w:t>
            </w:r>
            <w:r>
              <w:rPr>
                <w:rFonts w:cs="Calibri"/>
              </w:rPr>
              <w:t xml:space="preserve"> may also impact on food supply.</w:t>
            </w:r>
          </w:p>
          <w:p w:rsidR="00727DC1" w:rsidRDefault="00727DC1" w:rsidP="00C459D7">
            <w:pPr>
              <w:pStyle w:val="TableContents"/>
              <w:rPr>
                <w:rFonts w:cs="Calibri"/>
              </w:rPr>
            </w:pPr>
            <w:r>
              <w:rPr>
                <w:rFonts w:cs="Calibri"/>
              </w:rPr>
              <w:t xml:space="preserve">• Provisioning services- </w:t>
            </w:r>
            <w:r>
              <w:rPr>
                <w:rFonts w:cs="Calibri"/>
                <w:i/>
              </w:rPr>
              <w:t>P. clarkii</w:t>
            </w:r>
            <w:r>
              <w:rPr>
                <w:rFonts w:cs="Calibri"/>
              </w:rPr>
              <w:t xml:space="preserve"> has had impact on rice production where burrowing has destabilised paddies and consumption of crops has reduced yield. Increased turbidity in potable water sources may lead to additional costs in purification, although this has not been documented. </w:t>
            </w:r>
            <w:r>
              <w:rPr>
                <w:rFonts w:cs="Calibri"/>
              </w:rPr>
              <w:br/>
              <w:t xml:space="preserve">• Regulating services- </w:t>
            </w:r>
            <w:r>
              <w:rPr>
                <w:rFonts w:cs="Calibri"/>
                <w:i/>
              </w:rPr>
              <w:t>P. clarkii</w:t>
            </w:r>
            <w:r>
              <w:rPr>
                <w:rFonts w:cs="Calibri"/>
              </w:rPr>
              <w:t xml:space="preserve"> are asymptomatic carriers of the crayfish plague, a pathogen which native European crayfish species are highly susceptible to, often causing 100% mortalities. </w:t>
            </w:r>
            <w:r>
              <w:rPr>
                <w:rFonts w:cs="Calibri"/>
                <w:i/>
              </w:rPr>
              <w:t>P. clarkii</w:t>
            </w:r>
            <w:r>
              <w:rPr>
                <w:rFonts w:cs="Calibri"/>
              </w:rPr>
              <w:t xml:space="preserve"> also accumulates heavy metals and other pollutants which are transmitted to higher trophic levels. </w:t>
            </w:r>
            <w:r>
              <w:rPr>
                <w:rFonts w:cs="Calibri"/>
              </w:rPr>
              <w:br/>
              <w:t>• Cultural services- impacts on whole ecosystems will decrease species abundance and richness, in addition to making waters unsightly, possibly effecting ecotourism. Fish communities are likely to decrease, impacting on angling. Long term changes in water ways through bank erosion and turbidity make impact on navigation.</w:t>
            </w:r>
          </w:p>
          <w:p w:rsidR="00727DC1" w:rsidRPr="006F6C81" w:rsidRDefault="00727DC1" w:rsidP="00C459D7">
            <w:pPr>
              <w:pStyle w:val="TableContents"/>
              <w:rPr>
                <w:rFonts w:cs="Calibri"/>
              </w:rPr>
            </w:pPr>
            <w:r>
              <w:rPr>
                <w:rFonts w:cs="Calibri"/>
              </w:rPr>
              <w:br/>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lastRenderedPageBreak/>
              <w:t>8. Includes status (threatened or protected) of species or habitat under threat</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jc w:val="left"/>
            </w:pPr>
            <w:r>
              <w:rPr>
                <w:rFonts w:cs="Calibri"/>
              </w:rPr>
              <w:t>The following Red List assesses species in Europe are under threat because of the Red Swamp Crayfish (IUCN Red List, GISD 2014):</w:t>
            </w:r>
            <w:r>
              <w:rPr>
                <w:rFonts w:cs="Calibri"/>
              </w:rPr>
              <w:br/>
            </w:r>
            <w:r>
              <w:rPr>
                <w:rFonts w:cs="Calibri"/>
              </w:rPr>
              <w:br/>
              <w:t>a) Gastropods</w:t>
            </w:r>
            <w:r>
              <w:rPr>
                <w:rFonts w:cs="Calibri"/>
              </w:rPr>
              <w:br/>
              <w:t xml:space="preserve">• </w:t>
            </w:r>
            <w:r>
              <w:rPr>
                <w:rFonts w:cs="Calibri"/>
                <w:i/>
                <w:iCs/>
              </w:rPr>
              <w:t>Lymnaea stagnalis</w:t>
            </w:r>
            <w:r>
              <w:rPr>
                <w:rFonts w:cs="Calibri"/>
              </w:rPr>
              <w:t xml:space="preserve"> LC</w:t>
            </w:r>
            <w:r>
              <w:rPr>
                <w:rFonts w:cs="Calibri"/>
              </w:rPr>
              <w:br/>
            </w:r>
            <w:r>
              <w:rPr>
                <w:rFonts w:cs="Calibri"/>
              </w:rPr>
              <w:br/>
              <w:t>b) Crayfish species:</w:t>
            </w:r>
            <w:r>
              <w:rPr>
                <w:rFonts w:cs="Calibri"/>
              </w:rPr>
              <w:br/>
              <w:t xml:space="preserve">• </w:t>
            </w:r>
            <w:r>
              <w:rPr>
                <w:rFonts w:cs="Calibri"/>
                <w:i/>
                <w:iCs/>
              </w:rPr>
              <w:t>Astacus astacus VU</w:t>
            </w:r>
            <w:r>
              <w:rPr>
                <w:rFonts w:cs="Calibri"/>
                <w:i/>
                <w:iCs/>
              </w:rPr>
              <w:br/>
              <w:t>• Astacus leptodactylus LC</w:t>
            </w:r>
            <w:r>
              <w:rPr>
                <w:rFonts w:cs="Calibri"/>
                <w:i/>
                <w:iCs/>
              </w:rPr>
              <w:br/>
              <w:t>• Austropotamobius pallipes EN</w:t>
            </w:r>
            <w:r>
              <w:rPr>
                <w:rFonts w:cs="Calibri"/>
                <w:i/>
                <w:iCs/>
              </w:rPr>
              <w:br/>
              <w:t>• Austropotamobius torrentium DD</w:t>
            </w:r>
            <w:r>
              <w:rPr>
                <w:rFonts w:cs="Calibri"/>
              </w:rPr>
              <w:br/>
            </w:r>
            <w:r>
              <w:rPr>
                <w:rFonts w:cs="Calibri"/>
              </w:rPr>
              <w:br/>
            </w:r>
            <w:r w:rsidRPr="00EF2588">
              <w:t xml:space="preserve">The White-clawed crayfish </w:t>
            </w:r>
            <w:r w:rsidRPr="006F6C81">
              <w:rPr>
                <w:i/>
              </w:rPr>
              <w:t>Austropotamobius pallipes</w:t>
            </w:r>
            <w:r w:rsidRPr="00EF2588">
              <w:t xml:space="preserve"> is affected by a range of threats, however the most widespread threat is that of the invasive alien crayfish species such as the Signal Crayfish (</w:t>
            </w:r>
            <w:r w:rsidRPr="006F6C81">
              <w:rPr>
                <w:i/>
              </w:rPr>
              <w:t>Pacifastacus lenisculus</w:t>
            </w:r>
            <w:r w:rsidRPr="00EF2588">
              <w:t>) and Red Swamp Crayfish (</w:t>
            </w:r>
            <w:r w:rsidRPr="006F6C81">
              <w:rPr>
                <w:i/>
              </w:rPr>
              <w:t>Procambarus clarkii</w:t>
            </w:r>
            <w:r w:rsidRPr="00EF2588">
              <w:t>), as well as the Crayfish Plague (</w:t>
            </w:r>
            <w:r w:rsidRPr="006F6C81">
              <w:rPr>
                <w:i/>
              </w:rPr>
              <w:t>Aphanomyces astaci</w:t>
            </w:r>
            <w:r w:rsidRPr="00EF2588">
              <w:t>). Invasive crayfish are aggressive predators for food and habitat, and often prey upon the White-clawed Crayfish</w:t>
            </w:r>
            <w:r>
              <w:t xml:space="preserve"> </w:t>
            </w:r>
            <w:r>
              <w:fldChar w:fldCharType="begin"/>
            </w:r>
            <w:r>
              <w:instrText xml:space="preserve"> ADDIN EN.CITE &lt;EndNote&gt;&lt;Cite&gt;&lt;Author&gt;Füreder&lt;/Author&gt;&lt;Year&gt;2010&lt;/Year&gt;&lt;RecNum&gt;545&lt;/RecNum&gt;&lt;DisplayText&gt;(Füreder&lt;style face="italic"&gt; et al.&lt;/style&gt;, 2010)&lt;/DisplayText&gt;&lt;record&gt;&lt;rec-number&gt;545&lt;/rec-number&gt;&lt;foreign-keys&gt;&lt;key app="EN" db-id="0raex5eaedzazoespa0vpwvos95da9w2wewr"&gt;545&lt;/key&gt;&lt;/foreign-keys&gt;&lt;ref-type name="Journal Article"&gt;17&lt;/ref-type&gt;&lt;contributors&gt;&lt;authors&gt;&lt;author&gt;Füreder, L.&lt;/author&gt;&lt;author&gt;Gherardi, F.&lt;/author&gt;&lt;author&gt;Holdich, D.&lt;/author&gt;&lt;author&gt;Reynolds, J.&lt;/author&gt;&lt;author&gt;Sibley, P.&lt;/author&gt;&lt;author&gt;Souty-Grosset, C.&lt;/author&gt;&lt;/authors&gt;&lt;/contributors&gt;&lt;titles&gt;&lt;title&gt;&lt;style face="italic" font="default" size="100%"&gt;Austropotamobius pallipes&lt;/style&gt;&lt;/title&gt;&lt;secondary-title&gt;IUCN 2010: IUCN Red List of Threatened Species. Version 2010.4&lt;/secondary-title&gt;&lt;/titles&gt;&lt;periodical&gt;&lt;full-title&gt;IUCN 2010: IUCN Red List of Threatened Species. Version 2010.4&lt;/full-title&gt;&lt;/periodical&gt;&lt;dates&gt;&lt;year&gt;2010&lt;/year&gt;&lt;/dates&gt;&lt;urls&gt;&lt;/urls&gt;&lt;/record&gt;&lt;/Cite&gt;&lt;/EndNote&gt;</w:instrText>
            </w:r>
            <w:r>
              <w:fldChar w:fldCharType="separate"/>
            </w:r>
            <w:r>
              <w:rPr>
                <w:noProof/>
              </w:rPr>
              <w:t>(</w:t>
            </w:r>
            <w:hyperlink w:anchor="_ENREF_112" w:tooltip="Füreder, 2010 #545" w:history="1">
              <w:r>
                <w:rPr>
                  <w:noProof/>
                </w:rPr>
                <w:t>Füreder</w:t>
              </w:r>
              <w:r w:rsidRPr="00C3738B">
                <w:rPr>
                  <w:i/>
                  <w:noProof/>
                </w:rPr>
                <w:t xml:space="preserve"> et al.</w:t>
              </w:r>
              <w:r>
                <w:rPr>
                  <w:noProof/>
                </w:rPr>
                <w:t>, 2010</w:t>
              </w:r>
            </w:hyperlink>
            <w:r>
              <w:rPr>
                <w:noProof/>
              </w:rPr>
              <w:t>)</w:t>
            </w:r>
            <w:r>
              <w:fldChar w:fldCharType="end"/>
            </w:r>
            <w:r w:rsidRPr="00EF2588">
              <w:t xml:space="preserve">. </w:t>
            </w:r>
            <w:r w:rsidRPr="00EF2588">
              <w:br/>
            </w:r>
            <w:r w:rsidRPr="00EF2588">
              <w:lastRenderedPageBreak/>
              <w:t>Significant declines are occurring across much of this species range: approximately ~52% decline over 10 years in England, ~52% decline between 1995 and 2003 within France, and a 99.5% decline estimated for a ten year period in the South Tyrol region of Italy. These countries once held the greatest abundance of this species</w:t>
            </w:r>
            <w:r>
              <w:t xml:space="preserve"> </w:t>
            </w:r>
            <w:r>
              <w:fldChar w:fldCharType="begin"/>
            </w:r>
            <w:r>
              <w:instrText xml:space="preserve"> ADDIN EN.CITE &lt;EndNote&gt;&lt;Cite&gt;&lt;Author&gt;Füreder&lt;/Author&gt;&lt;Year&gt;2010&lt;/Year&gt;&lt;RecNum&gt;545&lt;/RecNum&gt;&lt;DisplayText&gt;(Füreder&lt;style face="italic"&gt; et al.&lt;/style&gt;, 2010)&lt;/DisplayText&gt;&lt;record&gt;&lt;rec-number&gt;545&lt;/rec-number&gt;&lt;foreign-keys&gt;&lt;key app="EN" db-id="0raex5eaedzazoespa0vpwvos95da9w2wewr"&gt;545&lt;/key&gt;&lt;/foreign-keys&gt;&lt;ref-type name="Journal Article"&gt;17&lt;/ref-type&gt;&lt;contributors&gt;&lt;authors&gt;&lt;author&gt;Füreder, L.&lt;/author&gt;&lt;author&gt;Gherardi, F.&lt;/author&gt;&lt;author&gt;Holdich, D.&lt;/author&gt;&lt;author&gt;Reynolds, J.&lt;/author&gt;&lt;author&gt;Sibley, P.&lt;/author&gt;&lt;author&gt;Souty-Grosset, C.&lt;/author&gt;&lt;/authors&gt;&lt;/contributors&gt;&lt;titles&gt;&lt;title&gt;&lt;style face="italic" font="default" size="100%"&gt;Austropotamobius pallipes&lt;/style&gt;&lt;/title&gt;&lt;secondary-title&gt;IUCN 2010: IUCN Red List of Threatened Species. Version 2010.4&lt;/secondary-title&gt;&lt;/titles&gt;&lt;periodical&gt;&lt;full-title&gt;IUCN 2010: IUCN Red List of Threatened Species. Version 2010.4&lt;/full-title&gt;&lt;/periodical&gt;&lt;dates&gt;&lt;year&gt;2010&lt;/year&gt;&lt;/dates&gt;&lt;urls&gt;&lt;/urls&gt;&lt;/record&gt;&lt;/Cite&gt;&lt;/EndNote&gt;</w:instrText>
            </w:r>
            <w:r>
              <w:fldChar w:fldCharType="separate"/>
            </w:r>
            <w:r>
              <w:rPr>
                <w:noProof/>
              </w:rPr>
              <w:t>(</w:t>
            </w:r>
            <w:hyperlink w:anchor="_ENREF_112" w:tooltip="Füreder, 2010 #545" w:history="1">
              <w:r>
                <w:rPr>
                  <w:noProof/>
                </w:rPr>
                <w:t>Füreder</w:t>
              </w:r>
              <w:r w:rsidRPr="00C3738B">
                <w:rPr>
                  <w:i/>
                  <w:noProof/>
                </w:rPr>
                <w:t xml:space="preserve"> et al.</w:t>
              </w:r>
              <w:r>
                <w:rPr>
                  <w:noProof/>
                </w:rPr>
                <w:t>, 2010</w:t>
              </w:r>
            </w:hyperlink>
            <w:r>
              <w:rPr>
                <w:noProof/>
              </w:rPr>
              <w:t>)</w:t>
            </w:r>
            <w:r>
              <w:fldChar w:fldCharType="end"/>
            </w:r>
            <w:r w:rsidRPr="00EF2588">
              <w:t xml:space="preserve">. </w:t>
            </w:r>
          </w:p>
          <w:p w:rsidR="00727DC1" w:rsidRDefault="00727DC1" w:rsidP="00C459D7">
            <w:pPr>
              <w:pStyle w:val="TableContents"/>
              <w:jc w:val="left"/>
            </w:pPr>
            <w:r w:rsidRPr="00EF2588">
              <w:br/>
              <w:t xml:space="preserve">For example, the situation concerning </w:t>
            </w:r>
            <w:r w:rsidRPr="006F6C81">
              <w:rPr>
                <w:i/>
              </w:rPr>
              <w:t>A. pallipes</w:t>
            </w:r>
            <w:r w:rsidRPr="00EF2588">
              <w:t xml:space="preserve"> is considered critical in South-West England, where </w:t>
            </w:r>
            <w:r w:rsidRPr="006F6C81">
              <w:rPr>
                <w:i/>
              </w:rPr>
              <w:t>P. leniusculus</w:t>
            </w:r>
            <w:r w:rsidRPr="00EF2588">
              <w:t xml:space="preserve"> has become widespread and this has been at the expense of </w:t>
            </w:r>
            <w:r w:rsidRPr="006F6C81">
              <w:rPr>
                <w:i/>
              </w:rPr>
              <w:t>A. pallipes</w:t>
            </w:r>
            <w:r w:rsidRPr="00EF2588">
              <w:t xml:space="preserve">, mainly through outbreaks of crayfish plague since the 1980s. It has also colonised waters not suitable for </w:t>
            </w:r>
            <w:r w:rsidRPr="006F6C81">
              <w:rPr>
                <w:i/>
              </w:rPr>
              <w:t>A. pallipes</w:t>
            </w:r>
            <w:r w:rsidRPr="00EF2588">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rsidRPr="00EF2588">
              <w:t>.</w:t>
            </w:r>
          </w:p>
          <w:p w:rsidR="00727DC1" w:rsidRDefault="00727DC1" w:rsidP="00C459D7">
            <w:pPr>
              <w:pStyle w:val="TableContents"/>
              <w:jc w:val="left"/>
            </w:pPr>
            <w:r w:rsidRPr="00EF2588">
              <w:br/>
              <w:t xml:space="preserve">In France, a national survey conducted in 2006 shows the same trend and the situation of three indigenous species is considered alarming: </w:t>
            </w:r>
            <w:r w:rsidRPr="006F6C81">
              <w:rPr>
                <w:i/>
              </w:rPr>
              <w:t>Austropotamobius torrentium</w:t>
            </w:r>
            <w:r w:rsidRPr="00EF2588">
              <w:t xml:space="preserve"> and </w:t>
            </w:r>
            <w:r w:rsidRPr="006F6C81">
              <w:rPr>
                <w:i/>
              </w:rPr>
              <w:t>Astacus astacus</w:t>
            </w:r>
            <w:r w:rsidRPr="00EF2588">
              <w:t xml:space="preserve"> are close to extinction, and </w:t>
            </w:r>
            <w:r w:rsidRPr="006F6C81">
              <w:rPr>
                <w:i/>
              </w:rPr>
              <w:t>A. pallipes</w:t>
            </w:r>
            <w:r w:rsidRPr="00EF2588">
              <w:t>, with mortalities observed in 47 departments, can now only be found in the uppermost parts of the watersheds</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rsidRPr="00EF2588">
              <w:t xml:space="preserve">. These mortalities are due not only to disease, but also to the pressure of non-indigenous species, which are still expanding their range. Both </w:t>
            </w:r>
            <w:r w:rsidRPr="006F6C81">
              <w:rPr>
                <w:i/>
              </w:rPr>
              <w:t>P. leniusculus</w:t>
            </w:r>
            <w:r w:rsidRPr="00EF2588">
              <w:t xml:space="preserve"> and </w:t>
            </w:r>
            <w:r w:rsidRPr="006F6C81">
              <w:rPr>
                <w:i/>
              </w:rPr>
              <w:t>P. clarkii</w:t>
            </w:r>
            <w:r w:rsidRPr="00EF2588">
              <w:t xml:space="preserve"> showed their strongest geographical expansion during the 2001–2006 period. </w:t>
            </w:r>
            <w:r>
              <w:t>They appear to be ubiquitously</w:t>
            </w:r>
            <w:r w:rsidRPr="00EF2588">
              <w:t xml:space="preserve"> very strong competitors; being more aggressive; resistant to disease, although there are outbreaks of disease at times associated with either a chronic or epizootic mortality; and are able to colonise varied environments. They are in the process of colonising new departments, new watersheds, and eliminating indigenous species</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rsidRPr="00EF2588">
              <w:t>.</w:t>
            </w:r>
          </w:p>
          <w:p w:rsidR="00727DC1" w:rsidRDefault="00727DC1" w:rsidP="00C459D7">
            <w:pPr>
              <w:pStyle w:val="TableContents"/>
              <w:jc w:val="left"/>
            </w:pPr>
            <w:r w:rsidRPr="00EF2588">
              <w:br/>
              <w:t xml:space="preserve">Italy is considered a “hot-spot” for the genetic diversity of the European crayfish genus </w:t>
            </w:r>
            <w:r w:rsidRPr="006F6C81">
              <w:rPr>
                <w:i/>
              </w:rPr>
              <w:t>Austropotamobius</w:t>
            </w:r>
            <w:r w:rsidRPr="00EF2588">
              <w:t xml:space="preserve">. The fragmentation of the </w:t>
            </w:r>
            <w:r w:rsidRPr="006F6C81">
              <w:rPr>
                <w:i/>
              </w:rPr>
              <w:t>A. pallipes</w:t>
            </w:r>
            <w:r w:rsidRPr="00EF2588">
              <w:t xml:space="preserve"> complex populations is due to among other threats the diseases, notably crayfish plague carried by </w:t>
            </w:r>
            <w:r w:rsidRPr="006F6C81">
              <w:rPr>
                <w:i/>
              </w:rPr>
              <w:t>P. leniusculus</w:t>
            </w:r>
            <w:r w:rsidRPr="00EF2588">
              <w:t xml:space="preserve"> and </w:t>
            </w:r>
            <w:r w:rsidRPr="006F6C81">
              <w:rPr>
                <w:i/>
              </w:rPr>
              <w:t>P. clarkii</w:t>
            </w:r>
            <w:r w:rsidRPr="00EF2588">
              <w:t>, and interspecific competition with the non-native crayfish species. In Italy, the decline is about 74% over the last 10 years</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t>.</w:t>
            </w:r>
          </w:p>
          <w:p w:rsidR="00727DC1" w:rsidRDefault="00727DC1" w:rsidP="00C459D7">
            <w:pPr>
              <w:pStyle w:val="TableContents"/>
              <w:jc w:val="left"/>
              <w:rPr>
                <w:rFonts w:cs="Calibri"/>
              </w:rPr>
            </w:pPr>
            <w:r w:rsidRPr="00EF2588">
              <w:br/>
              <w:t xml:space="preserve">With the introduction of the two North American species into the Iberian peninsula, first, </w:t>
            </w:r>
            <w:r w:rsidRPr="006F6C81">
              <w:rPr>
                <w:i/>
              </w:rPr>
              <w:t>P. clarkii</w:t>
            </w:r>
            <w:r w:rsidRPr="00EF2588">
              <w:t xml:space="preserve"> in 1973, and then </w:t>
            </w:r>
            <w:r w:rsidRPr="006F6C81">
              <w:rPr>
                <w:i/>
              </w:rPr>
              <w:t>P. leniusculus</w:t>
            </w:r>
            <w:r w:rsidRPr="00EF2588">
              <w:t xml:space="preserve"> in 1974, the fate of </w:t>
            </w:r>
            <w:r w:rsidRPr="006F6C81">
              <w:rPr>
                <w:i/>
              </w:rPr>
              <w:t>A. pallipes</w:t>
            </w:r>
            <w:r w:rsidRPr="00EF2588">
              <w:t xml:space="preserve"> was effectively sealed. Today this crayfish is believed extinct in Portugal and only remnant populations remain in Spain, chiefly in </w:t>
            </w:r>
            <w:r w:rsidRPr="00EF2588">
              <w:lastRenderedPageBreak/>
              <w:t xml:space="preserve">Atlantic regions of Asturias, Girona and Pais Vasco, Navarra, Castilla and Leon, Cuenca and Granada. As elsewhere when NICS have ousted ICS from the majority of their habitat, </w:t>
            </w:r>
            <w:r w:rsidRPr="006F6C81">
              <w:rPr>
                <w:i/>
              </w:rPr>
              <w:t>A. pallipes</w:t>
            </w:r>
            <w:r w:rsidRPr="00EF2588">
              <w:t xml:space="preserve"> is now restricted in Spain to small headwater streams and springs</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t>.</w:t>
            </w:r>
            <w:r w:rsidRPr="00EF2588">
              <w:t xml:space="preserve"> </w:t>
            </w:r>
            <w:r>
              <w:rPr>
                <w:rFonts w:cs="Calibri"/>
              </w:rPr>
              <w:br/>
            </w:r>
            <w:r>
              <w:rPr>
                <w:rFonts w:cs="Calibri"/>
              </w:rPr>
              <w:br/>
              <w:t>c) Fish species</w:t>
            </w:r>
            <w:r>
              <w:rPr>
                <w:rFonts w:cs="Calibri"/>
              </w:rPr>
              <w:br/>
              <w:t xml:space="preserve">• </w:t>
            </w:r>
            <w:r>
              <w:rPr>
                <w:rFonts w:cs="Calibri"/>
                <w:i/>
                <w:iCs/>
              </w:rPr>
              <w:t>Aphanius baeticus</w:t>
            </w:r>
            <w:r>
              <w:rPr>
                <w:rFonts w:cs="Calibri"/>
              </w:rPr>
              <w:t xml:space="preserve"> LC (restricted to the lower Guadalquivir region and in streams located on the southern Atlantic slope of Spain, including Coto Donana National Park)</w:t>
            </w:r>
            <w:r>
              <w:rPr>
                <w:rFonts w:cs="Calibri"/>
              </w:rPr>
              <w:br/>
            </w:r>
            <w:r>
              <w:rPr>
                <w:rFonts w:cs="Calibri"/>
              </w:rPr>
              <w:br/>
              <w:t>d) Amphibians - predation</w:t>
            </w:r>
            <w:r>
              <w:rPr>
                <w:rFonts w:cs="Calibri"/>
              </w:rPr>
              <w:br/>
              <w:t xml:space="preserve">• </w:t>
            </w:r>
            <w:r>
              <w:rPr>
                <w:rFonts w:cs="Calibri"/>
                <w:i/>
                <w:iCs/>
              </w:rPr>
              <w:t xml:space="preserve">Alytes cisternasii </w:t>
            </w:r>
            <w:r>
              <w:rPr>
                <w:rFonts w:cs="Calibri"/>
              </w:rPr>
              <w:t>NT (restricted to southern and eastern Portugal and western and central Spain)</w:t>
            </w:r>
            <w:r>
              <w:rPr>
                <w:rFonts w:cs="Calibri"/>
              </w:rPr>
              <w:br/>
              <w:t xml:space="preserve">• </w:t>
            </w:r>
            <w:r>
              <w:rPr>
                <w:rFonts w:cs="Calibri"/>
                <w:i/>
                <w:iCs/>
              </w:rPr>
              <w:t xml:space="preserve">Discoglossus galganoi </w:t>
            </w:r>
            <w:r>
              <w:rPr>
                <w:rFonts w:cs="Calibri"/>
              </w:rPr>
              <w:t>LC (endemic to the Iberian Peninsula - Portugal and most of western Spain)</w:t>
            </w:r>
            <w:r>
              <w:rPr>
                <w:rFonts w:cs="Calibri"/>
              </w:rPr>
              <w:br/>
              <w:t xml:space="preserve">• </w:t>
            </w:r>
            <w:r>
              <w:rPr>
                <w:rFonts w:cs="Calibri"/>
                <w:i/>
                <w:iCs/>
              </w:rPr>
              <w:t>Discoglossus jeanneae</w:t>
            </w:r>
            <w:r>
              <w:rPr>
                <w:rFonts w:cs="Calibri"/>
              </w:rPr>
              <w:t xml:space="preserve"> NT (endemic to isolated areas in southern, eastern and north-eastern Spain)</w:t>
            </w:r>
            <w:r>
              <w:rPr>
                <w:rFonts w:cs="Calibri"/>
              </w:rPr>
              <w:br/>
              <w:t>•</w:t>
            </w:r>
            <w:r>
              <w:rPr>
                <w:rFonts w:cs="Calibri"/>
                <w:i/>
                <w:iCs/>
              </w:rPr>
              <w:t xml:space="preserve"> Epidalea calamita</w:t>
            </w:r>
            <w:r>
              <w:rPr>
                <w:rFonts w:cs="Calibri"/>
              </w:rPr>
              <w:t xml:space="preserve"> LC (found in southern, western and northern Europe, ranging from Portugal and Spain, north to Denmark, southern Sweden, and as far east as western Ukraine, Belarus, Latvia and Estonia)</w:t>
            </w:r>
            <w:r>
              <w:rPr>
                <w:rFonts w:cs="Calibri"/>
              </w:rPr>
              <w:br/>
              <w:t xml:space="preserve">• </w:t>
            </w:r>
            <w:r>
              <w:rPr>
                <w:rFonts w:cs="Calibri"/>
                <w:i/>
                <w:iCs/>
              </w:rPr>
              <w:t>Hyla meridionalis</w:t>
            </w:r>
            <w:r>
              <w:rPr>
                <w:rFonts w:cs="Calibri"/>
              </w:rPr>
              <w:t xml:space="preserve"> LC (the western Mediterranean)</w:t>
            </w:r>
            <w:r>
              <w:rPr>
                <w:rFonts w:cs="Calibri"/>
              </w:rPr>
              <w:br/>
              <w:t xml:space="preserve">• </w:t>
            </w:r>
            <w:r>
              <w:rPr>
                <w:rFonts w:cs="Calibri"/>
                <w:i/>
                <w:iCs/>
              </w:rPr>
              <w:t xml:space="preserve">Lissotriton boscai </w:t>
            </w:r>
            <w:r>
              <w:rPr>
                <w:rFonts w:cs="Calibri"/>
              </w:rPr>
              <w:t>LC (restricted to the western part of the Iberian Peninsula)</w:t>
            </w:r>
            <w:r>
              <w:rPr>
                <w:rFonts w:cs="Calibri"/>
              </w:rPr>
              <w:br/>
              <w:t xml:space="preserve">• </w:t>
            </w:r>
            <w:r>
              <w:rPr>
                <w:rFonts w:cs="Calibri"/>
                <w:i/>
                <w:iCs/>
              </w:rPr>
              <w:t xml:space="preserve">Lissotriton helveticus </w:t>
            </w:r>
            <w:r>
              <w:rPr>
                <w:rFonts w:cs="Calibri"/>
              </w:rPr>
              <w:t>LC (restricted to western Europe)</w:t>
            </w:r>
            <w:r>
              <w:rPr>
                <w:rFonts w:cs="Calibri"/>
              </w:rPr>
              <w:br/>
              <w:t xml:space="preserve">• </w:t>
            </w:r>
            <w:r>
              <w:rPr>
                <w:rFonts w:cs="Calibri"/>
                <w:i/>
                <w:iCs/>
              </w:rPr>
              <w:t>Pelobates cultripes</w:t>
            </w:r>
            <w:r>
              <w:rPr>
                <w:rFonts w:cs="Calibri"/>
              </w:rPr>
              <w:t xml:space="preserve"> NT (present in most of the Iberian Peninsula and southern France)</w:t>
            </w:r>
            <w:r>
              <w:rPr>
                <w:rFonts w:cs="Calibri"/>
              </w:rPr>
              <w:br/>
              <w:t xml:space="preserve">• </w:t>
            </w:r>
            <w:r>
              <w:rPr>
                <w:rFonts w:cs="Calibri"/>
                <w:i/>
                <w:iCs/>
              </w:rPr>
              <w:t>Pelodytes ibericus</w:t>
            </w:r>
            <w:r>
              <w:rPr>
                <w:rFonts w:cs="Calibri"/>
              </w:rPr>
              <w:t xml:space="preserve"> LC (endemic to southeastern Portugal and southern Spain)</w:t>
            </w:r>
            <w:r>
              <w:rPr>
                <w:rFonts w:cs="Calibri"/>
              </w:rPr>
              <w:br/>
              <w:t xml:space="preserve">• </w:t>
            </w:r>
            <w:r>
              <w:rPr>
                <w:rFonts w:cs="Calibri"/>
                <w:i/>
                <w:iCs/>
              </w:rPr>
              <w:t>Pelodytes punctatus</w:t>
            </w:r>
            <w:r>
              <w:rPr>
                <w:rFonts w:cs="Calibri"/>
              </w:rPr>
              <w:t xml:space="preserve"> LC (found in Portugal, Spain, France and Italy)</w:t>
            </w:r>
            <w:r>
              <w:rPr>
                <w:rFonts w:cs="Calibri"/>
              </w:rPr>
              <w:br/>
              <w:t xml:space="preserve">• </w:t>
            </w:r>
            <w:r>
              <w:rPr>
                <w:rFonts w:cs="Calibri"/>
                <w:i/>
                <w:iCs/>
              </w:rPr>
              <w:t>Pleurodeles waltl</w:t>
            </w:r>
            <w:r>
              <w:rPr>
                <w:rFonts w:cs="Calibri"/>
              </w:rPr>
              <w:t xml:space="preserve"> NT (central and southern Iberia)</w:t>
            </w:r>
            <w:r>
              <w:rPr>
                <w:rFonts w:cs="Calibri"/>
              </w:rPr>
              <w:br/>
              <w:t xml:space="preserve">• </w:t>
            </w:r>
            <w:r>
              <w:rPr>
                <w:rFonts w:cs="Calibri"/>
                <w:i/>
                <w:iCs/>
              </w:rPr>
              <w:t>Rana latastei</w:t>
            </w:r>
            <w:r>
              <w:rPr>
                <w:rFonts w:cs="Calibri"/>
              </w:rPr>
              <w:t xml:space="preserve"> VU (found in Italy, Switzerland, Slovenia, Croatia)</w:t>
            </w:r>
            <w:r>
              <w:rPr>
                <w:rFonts w:cs="Calibri"/>
              </w:rPr>
              <w:br/>
              <w:t xml:space="preserve">• </w:t>
            </w:r>
            <w:r>
              <w:rPr>
                <w:rFonts w:cs="Calibri"/>
                <w:i/>
                <w:iCs/>
              </w:rPr>
              <w:t xml:space="preserve">Salamandra salamandra </w:t>
            </w:r>
            <w:r>
              <w:rPr>
                <w:rFonts w:cs="Calibri"/>
              </w:rPr>
              <w:t>LC (present across much of central, eastern and southern Europe)</w:t>
            </w:r>
            <w:r>
              <w:rPr>
                <w:rFonts w:cs="Calibri"/>
              </w:rPr>
              <w:br/>
              <w:t xml:space="preserve">• </w:t>
            </w:r>
            <w:r>
              <w:rPr>
                <w:rFonts w:cs="Calibri"/>
                <w:i/>
                <w:iCs/>
              </w:rPr>
              <w:t xml:space="preserve">Triturus marmoratus </w:t>
            </w:r>
            <w:r>
              <w:rPr>
                <w:rFonts w:cs="Calibri"/>
              </w:rPr>
              <w:t>LC (found in much of northern Iberia, and central, southern and western France)</w:t>
            </w:r>
            <w:r>
              <w:rPr>
                <w:rFonts w:cs="Calibri"/>
              </w:rPr>
              <w:br/>
              <w:t xml:space="preserve">• </w:t>
            </w:r>
            <w:r>
              <w:rPr>
                <w:rFonts w:cs="Calibri"/>
                <w:i/>
                <w:iCs/>
              </w:rPr>
              <w:t xml:space="preserve">Triturus pygmaeus </w:t>
            </w:r>
            <w:r>
              <w:rPr>
                <w:rFonts w:cs="Calibri"/>
              </w:rPr>
              <w:t>NT (endemic to the Iberian Peninsula)</w:t>
            </w:r>
            <w:r>
              <w:rPr>
                <w:rFonts w:cs="Calibri"/>
              </w:rPr>
              <w:br/>
            </w:r>
            <w:r>
              <w:rPr>
                <w:rFonts w:cs="Calibri"/>
              </w:rPr>
              <w:br/>
              <w:t>e) Bird species - competition</w:t>
            </w:r>
            <w:r>
              <w:rPr>
                <w:rFonts w:cs="Calibri"/>
              </w:rPr>
              <w:br/>
            </w:r>
            <w:r>
              <w:rPr>
                <w:rFonts w:cs="Calibri"/>
              </w:rPr>
              <w:lastRenderedPageBreak/>
              <w:t xml:space="preserve">• </w:t>
            </w:r>
            <w:r>
              <w:rPr>
                <w:rFonts w:cs="Calibri"/>
                <w:i/>
                <w:iCs/>
              </w:rPr>
              <w:t xml:space="preserve">Fulica cristata </w:t>
            </w:r>
            <w:r>
              <w:rPr>
                <w:rFonts w:cs="Calibri"/>
              </w:rPr>
              <w:t>LC (Spain)</w:t>
            </w:r>
            <w:r>
              <w:rPr>
                <w:rFonts w:cs="Calibri"/>
              </w:rPr>
              <w:br/>
            </w:r>
            <w:r>
              <w:rPr>
                <w:rFonts w:cs="Calibri"/>
              </w:rPr>
              <w:br/>
            </w:r>
            <w:r>
              <w:rPr>
                <w:rFonts w:cs="Calibri"/>
                <w:i/>
              </w:rPr>
              <w:t>P. clarkii</w:t>
            </w:r>
            <w:r>
              <w:rPr>
                <w:rFonts w:cs="Calibri"/>
              </w:rPr>
              <w:t xml:space="preserve"> are ecosystem engineers having a wide ranging impact when found outside of their native range. For example in Chozas Lake (Spain) the introduction of </w:t>
            </w:r>
            <w:r>
              <w:rPr>
                <w:rFonts w:cs="Calibri"/>
                <w:i/>
              </w:rPr>
              <w:t>P. clarkii</w:t>
            </w:r>
            <w:r>
              <w:rPr>
                <w:rFonts w:cs="Calibri"/>
              </w:rPr>
              <w:t xml:space="preserve"> show a significant change from a biodiverse clear water lake to a turbid water with significant loss of species abundance and richness (99% reduction in plant cover, 71% loss of macro-invertebrates, 83% reduction in amphibian species and 52% reduction in water fowl).</w:t>
            </w:r>
          </w:p>
          <w:p w:rsidR="00727DC1" w:rsidRDefault="00727DC1" w:rsidP="00C459D7">
            <w:pPr>
              <w:pStyle w:val="TableContents"/>
              <w:jc w:val="left"/>
            </w:pPr>
            <w:r>
              <w:rPr>
                <w:rFonts w:cs="Calibri"/>
              </w:rPr>
              <w:br/>
            </w:r>
            <w:r>
              <w:rPr>
                <w:rFonts w:cs="Calibri"/>
                <w:i/>
              </w:rPr>
              <w:t>P. clarkii</w:t>
            </w:r>
            <w:r>
              <w:rPr>
                <w:rFonts w:cs="Calibri"/>
              </w:rPr>
              <w:t xml:space="preserve"> are asymptomatic carriers of the crayfish plague, a pathogen which native European crayfish species are highly susceptible to, often causing 100% mortalities. </w:t>
            </w:r>
            <w:r>
              <w:rPr>
                <w:rFonts w:cs="Calibri"/>
                <w:i/>
              </w:rPr>
              <w:t>P. clarkii</w:t>
            </w:r>
            <w:r>
              <w:rPr>
                <w:rFonts w:cs="Calibri"/>
              </w:rPr>
              <w:t xml:space="preserve"> also accumulates heavy metals and other pollutants which are transmitted to higher trophic levels.</w:t>
            </w:r>
            <w:r>
              <w:rPr>
                <w:rFonts w:cs="Calibri"/>
              </w:rPr>
              <w:br/>
              <w:t xml:space="preserve">It is therefore likely that </w:t>
            </w:r>
            <w:r>
              <w:rPr>
                <w:rFonts w:cs="Calibri"/>
                <w:i/>
              </w:rPr>
              <w:t>P. clarkii</w:t>
            </w:r>
            <w:r>
              <w:rPr>
                <w:rFonts w:cs="Calibri"/>
              </w:rPr>
              <w:t xml:space="preserve"> may have an impact on all freshwater protected habitats and species within the risk assessment area.</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i/>
              </w:rPr>
            </w:pPr>
            <w:r>
              <w:rPr>
                <w:rFonts w:cs="Calibri"/>
              </w:rPr>
              <w:lastRenderedPageBreak/>
              <w:t>9. Includes possible effects of climate change in the foreseeable future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rPr>
                <w:rFonts w:cs="Calibri"/>
              </w:rPr>
            </w:pPr>
            <w:r>
              <w:rPr>
                <w:rFonts w:cs="Calibri"/>
                <w:i/>
              </w:rPr>
              <w:t>P. clarkii</w:t>
            </w:r>
            <w:r>
              <w:rPr>
                <w:rFonts w:cs="Calibri"/>
              </w:rPr>
              <w:t xml:space="preserve"> naturally occurs in southern America including Central America, preferring warmer climates, but tolerant of colder conditions. Increasing water temperature is likely to see an increase in the range of </w:t>
            </w:r>
            <w:r>
              <w:rPr>
                <w:rFonts w:cs="Calibri"/>
                <w:i/>
              </w:rPr>
              <w:t>P. clarkii</w:t>
            </w:r>
            <w:r>
              <w:rPr>
                <w:rFonts w:cs="Calibri"/>
              </w:rPr>
              <w:t xml:space="preserve"> into northern territories.</w:t>
            </w:r>
          </w:p>
          <w:p w:rsidR="00727DC1" w:rsidRDefault="00727DC1" w:rsidP="00C459D7">
            <w:pPr>
              <w:pStyle w:val="TableContents"/>
              <w:rPr>
                <w:rFonts w:cs="Calibri"/>
              </w:rPr>
            </w:pPr>
            <w:r>
              <w:rPr>
                <w:rFonts w:cs="Calibri"/>
              </w:rPr>
              <w:t xml:space="preserve"> </w:t>
            </w:r>
            <w:r>
              <w:rPr>
                <w:rFonts w:cs="Calibri"/>
              </w:rPr>
              <w:br/>
            </w:r>
            <w:r>
              <w:rPr>
                <w:rFonts w:cs="Calibri"/>
              </w:rPr>
              <w:br/>
              <w:t xml:space="preserve">The effect of climate change on the world’s distribution of </w:t>
            </w:r>
            <w:r>
              <w:rPr>
                <w:rFonts w:cs="Calibri"/>
                <w:i/>
              </w:rPr>
              <w:t>P. clarkii</w:t>
            </w:r>
            <w:r>
              <w:rPr>
                <w:rFonts w:cs="Calibri"/>
              </w:rPr>
              <w:t xml:space="preserve"> by 2050 has been examined </w:t>
            </w:r>
            <w:r>
              <w:rPr>
                <w:rFonts w:cs="Calibri"/>
              </w:rPr>
              <w:fldChar w:fldCharType="begin"/>
            </w:r>
            <w:r>
              <w:rPr>
                <w:rFonts w:cs="Calibri"/>
              </w:rPr>
              <w:instrText xml:space="preserve"> ADDIN EN.CITE &lt;EndNote&gt;&lt;Cite&gt;&lt;Author&gt;Liu&lt;/Author&gt;&lt;Year&gt;2011&lt;/Year&gt;&lt;RecNum&gt;565&lt;/RecNum&gt;&lt;DisplayText&gt;(Liu&lt;style face="italic"&gt; et al.&lt;/style&gt;, 2011)&lt;/DisplayText&gt;&lt;record&gt;&lt;rec-number&gt;565&lt;/rec-number&gt;&lt;foreign-keys&gt;&lt;key app="EN" db-id="0raex5eaedzazoespa0vpwvos95da9w2wewr"&gt;565&lt;/key&gt;&lt;/foreign-keys&gt;&lt;ref-type name="Journal Article"&gt;17&lt;/ref-type&gt;&lt;contributors&gt;&lt;authors&gt;&lt;author&gt;Liu, Xuan&lt;/author&gt;&lt;author&gt;Guo, Zhongwei&lt;/author&gt;&lt;author&gt;Ke, Zunwei&lt;/author&gt;&lt;author&gt;Wang, Supen&lt;/author&gt;&lt;author&gt;Li, Yiming&lt;/author&gt;&lt;/authors&gt;&lt;/contributors&gt;&lt;titles&gt;&lt;title&gt;Increasing potential risk of a global aquatic invader in Europe in contrast to other continents under future climate change&lt;/title&gt;&lt;secondary-title&gt;PloS one&lt;/secondary-title&gt;&lt;/titles&gt;&lt;periodical&gt;&lt;full-title&gt;PloS one&lt;/full-title&gt;&lt;/periodical&gt;&lt;pages&gt;e18429&lt;/pages&gt;&lt;volume&gt;6&lt;/volume&gt;&lt;number&gt;3&lt;/number&gt;&lt;dates&gt;&lt;year&gt;2011&lt;/year&gt;&lt;/dates&gt;&lt;isbn&gt;1932-6203&lt;/isbn&gt;&lt;urls&gt;&lt;/urls&gt;&lt;/record&gt;&lt;/Cite&gt;&lt;/EndNote&gt;</w:instrText>
            </w:r>
            <w:r>
              <w:rPr>
                <w:rFonts w:cs="Calibri"/>
              </w:rPr>
              <w:fldChar w:fldCharType="separate"/>
            </w:r>
            <w:r>
              <w:rPr>
                <w:rFonts w:cs="Calibri"/>
                <w:noProof/>
              </w:rPr>
              <w:t>(</w:t>
            </w:r>
            <w:hyperlink w:anchor="_ENREF_185" w:tooltip="Liu, 2011 #565" w:history="1">
              <w:r>
                <w:rPr>
                  <w:rFonts w:cs="Calibri"/>
                  <w:noProof/>
                </w:rPr>
                <w:t>Liu</w:t>
              </w:r>
              <w:r w:rsidRPr="00C3738B">
                <w:rPr>
                  <w:rFonts w:cs="Calibri"/>
                  <w:i/>
                  <w:noProof/>
                </w:rPr>
                <w:t xml:space="preserve"> et al.</w:t>
              </w:r>
              <w:r>
                <w:rPr>
                  <w:rFonts w:cs="Calibri"/>
                  <w:noProof/>
                </w:rPr>
                <w:t>, 2011</w:t>
              </w:r>
            </w:hyperlink>
            <w:r>
              <w:rPr>
                <w:rFonts w:cs="Calibri"/>
                <w:noProof/>
              </w:rPr>
              <w:t>)</w:t>
            </w:r>
            <w:r>
              <w:rPr>
                <w:rFonts w:cs="Calibri"/>
              </w:rPr>
              <w:fldChar w:fldCharType="end"/>
            </w:r>
            <w:r>
              <w:rPr>
                <w:rFonts w:cs="Calibri"/>
              </w:rPr>
              <w:t xml:space="preserve">. The authors developed a model under two greenhouse gas-emission scenarios and found that </w:t>
            </w:r>
            <w:r>
              <w:rPr>
                <w:rFonts w:cs="Calibri"/>
                <w:i/>
              </w:rPr>
              <w:t>P. clarkii</w:t>
            </w:r>
            <w:r>
              <w:rPr>
                <w:rFonts w:cs="Calibri"/>
              </w:rPr>
              <w:t>’s presence is negatively correlated with the minimum temperature of the coldest month but positively so with precipitation of the driest quarter and human footprint. A second result of this study is that Europe, particularly river basins at higher latitudes, will be more sensitive to this species, and thus necessitates additional concern under future climate change.</w:t>
            </w:r>
          </w:p>
          <w:p w:rsidR="00727DC1" w:rsidRDefault="00727DC1" w:rsidP="00C459D7">
            <w:pPr>
              <w:pStyle w:val="TableContents"/>
              <w:rPr>
                <w:rFonts w:cs="Calibri"/>
              </w:rPr>
            </w:pPr>
            <w:r>
              <w:rPr>
                <w:rFonts w:cs="Calibri"/>
              </w:rPr>
              <w:br/>
              <w:t xml:space="preserve">A similar modeling exercise was developed </w:t>
            </w:r>
            <w:r>
              <w:rPr>
                <w:rFonts w:cs="Calibri"/>
              </w:rPr>
              <w:fldChar w:fldCharType="begin"/>
            </w:r>
            <w:r>
              <w:rPr>
                <w:rFonts w:cs="Calibri"/>
              </w:rPr>
              <w:instrText xml:space="preserve"> ADDIN EN.CITE &lt;EndNote&gt;&lt;Cite&gt;&lt;Author&gt;Capinha&lt;/Author&gt;&lt;Year&gt;2013&lt;/Year&gt;&lt;RecNum&gt;448&lt;/RecNum&gt;&lt;DisplayText&gt;(Capinha&lt;style face="italic"&gt; et al.&lt;/style&gt;, 2013)&lt;/DisplayText&gt;&lt;record&gt;&lt;rec-number&gt;448&lt;/rec-number&gt;&lt;foreign-keys&gt;&lt;key app="EN" db-id="0raex5eaedzazoespa0vpwvos95da9w2wewr"&gt;448&lt;/key&gt;&lt;/foreign-keys&gt;&lt;ref-type name="Journal Article"&gt;17&lt;/ref-type&gt;&lt;contributors&gt;&lt;authors&gt;&lt;author&gt;Capinha, Cesar&lt;/author&gt;&lt;author&gt;Larson, Eric R&lt;/author&gt;&lt;author&gt;Tricarico, Elena&lt;/author&gt;&lt;author&gt;Olden, Julian D&lt;/author&gt;&lt;author&gt;Gherardi, Francesca&lt;/author&gt;&lt;/authors&gt;&lt;/contributors&gt;&lt;titles&gt;&lt;title&gt;Effects of climate change, invasive species, and disease on the distribution of native European crayfishes&lt;/title&gt;&lt;secondary-title&gt;Conservation Biology&lt;/secondary-title&gt;&lt;/titles&gt;&lt;periodical&gt;&lt;full-title&gt;Conservation Biology&lt;/full-title&gt;&lt;/periodical&gt;&lt;pages&gt;731-740&lt;/pages&gt;&lt;volume&gt;27&lt;/volume&gt;&lt;number&gt;4&lt;/number&gt;&lt;dates&gt;&lt;year&gt;2013&lt;/year&gt;&lt;/dates&gt;&lt;isbn&gt;1523-1739&lt;/isbn&gt;&lt;urls&gt;&lt;/urls&gt;&lt;/record&gt;&lt;/Cite&gt;&lt;/EndNote&gt;</w:instrText>
            </w:r>
            <w:r>
              <w:rPr>
                <w:rFonts w:cs="Calibri"/>
              </w:rPr>
              <w:fldChar w:fldCharType="separate"/>
            </w:r>
            <w:r>
              <w:rPr>
                <w:rFonts w:cs="Calibri"/>
                <w:noProof/>
              </w:rPr>
              <w:t>(</w:t>
            </w:r>
            <w:hyperlink w:anchor="_ENREF_52" w:tooltip="Capinha, 2013 #448" w:history="1">
              <w:r>
                <w:rPr>
                  <w:rFonts w:cs="Calibri"/>
                  <w:noProof/>
                </w:rPr>
                <w:t>Capinha</w:t>
              </w:r>
              <w:r w:rsidRPr="00C3738B">
                <w:rPr>
                  <w:rFonts w:cs="Calibri"/>
                  <w:i/>
                  <w:noProof/>
                </w:rPr>
                <w:t xml:space="preserve"> et al.</w:t>
              </w:r>
              <w:r>
                <w:rPr>
                  <w:rFonts w:cs="Calibri"/>
                  <w:noProof/>
                </w:rPr>
                <w:t>, 2013</w:t>
              </w:r>
            </w:hyperlink>
            <w:r>
              <w:rPr>
                <w:rFonts w:cs="Calibri"/>
                <w:noProof/>
              </w:rPr>
              <w:t>)</w:t>
            </w:r>
            <w:r>
              <w:rPr>
                <w:rFonts w:cs="Calibri"/>
              </w:rPr>
              <w:fldChar w:fldCharType="end"/>
            </w:r>
            <w:r>
              <w:rPr>
                <w:rFonts w:cs="Calibri"/>
              </w:rPr>
              <w:t xml:space="preserve"> for the native crayfish in Europe and three North American plague-carrying crayfish species (</w:t>
            </w:r>
            <w:r>
              <w:rPr>
                <w:rFonts w:cs="Calibri"/>
                <w:i/>
              </w:rPr>
              <w:t>O. limosus</w:t>
            </w:r>
            <w:r>
              <w:rPr>
                <w:rFonts w:cs="Calibri"/>
              </w:rPr>
              <w:t xml:space="preserve">, </w:t>
            </w:r>
            <w:r>
              <w:rPr>
                <w:rFonts w:cs="Calibri"/>
                <w:i/>
              </w:rPr>
              <w:t>P. leniusculus</w:t>
            </w:r>
            <w:r>
              <w:rPr>
                <w:rFonts w:cs="Calibri"/>
              </w:rPr>
              <w:t xml:space="preserve">, and </w:t>
            </w:r>
            <w:r>
              <w:rPr>
                <w:rFonts w:cs="Calibri"/>
                <w:i/>
              </w:rPr>
              <w:t>P. clarkii</w:t>
            </w:r>
            <w:r>
              <w:rPr>
                <w:rFonts w:cs="Calibri"/>
              </w:rPr>
              <w:t xml:space="preserve">). The authors anticipate that only </w:t>
            </w:r>
            <w:r>
              <w:rPr>
                <w:rFonts w:cs="Calibri"/>
                <w:i/>
              </w:rPr>
              <w:t>P. clarkia</w:t>
            </w:r>
            <w:r>
              <w:rPr>
                <w:rFonts w:cs="Calibri"/>
              </w:rPr>
              <w:t xml:space="preserve"> will enlarge its distribution range in both accessible (areas within basins where a given species is currently established) and inaccessible areas. This result has been confirmed by a </w:t>
            </w:r>
            <w:r>
              <w:rPr>
                <w:rFonts w:cs="Calibri"/>
              </w:rPr>
              <w:lastRenderedPageBreak/>
              <w:t xml:space="preserve">behavioural study that analyzed antagonism, at different temperatures, of dyads composed of the same three species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 xml:space="preserve">. All other conditions being equal, </w:t>
            </w:r>
            <w:r>
              <w:rPr>
                <w:rFonts w:cs="Calibri"/>
                <w:i/>
              </w:rPr>
              <w:t>P. clarkii</w:t>
            </w:r>
            <w:r>
              <w:rPr>
                <w:rFonts w:cs="Calibri"/>
              </w:rPr>
              <w:t xml:space="preserve"> was dominant over the other species at the highest temperature analyzed (27°C), which corresponds to the maximum temperature expected at the latitudes of the study area (central France) in the next 80 years under the more pessimistic greenhouse gas-emission scenario. On the contrary, at that temperature, </w:t>
            </w:r>
            <w:r>
              <w:rPr>
                <w:rFonts w:cs="Calibri"/>
                <w:i/>
              </w:rPr>
              <w:t>O. limosus</w:t>
            </w:r>
            <w:r>
              <w:rPr>
                <w:rFonts w:cs="Calibri"/>
              </w:rPr>
              <w:t xml:space="preserve"> will become less active, which may be a strategy to avoid thermal shocks, and </w:t>
            </w:r>
            <w:r>
              <w:rPr>
                <w:rFonts w:cs="Calibri"/>
                <w:i/>
              </w:rPr>
              <w:t>P. leniusculus</w:t>
            </w:r>
            <w:r>
              <w:rPr>
                <w:rFonts w:cs="Calibri"/>
              </w:rPr>
              <w:t xml:space="preserve">, being likely more vulnerable to high temperatures, will become less competitive. </w:t>
            </w:r>
            <w:r>
              <w:rPr>
                <w:rFonts w:cs="Calibri"/>
                <w:i/>
              </w:rPr>
              <w:t>Procambarus clarkii</w:t>
            </w:r>
            <w:r>
              <w:rPr>
                <w:rFonts w:cs="Calibri"/>
              </w:rPr>
              <w:t xml:space="preserve"> is thus expected to exclude the other crayfish from the areas of syntopy and to dominate the future European watersheds. Ultimately, this might lead to impoverished biodiversity, simplified food webs, and altered ecosystem services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w:t>
            </w:r>
          </w:p>
          <w:p w:rsidR="00727DC1" w:rsidRDefault="00727DC1" w:rsidP="00C459D7">
            <w:pPr>
              <w:pStyle w:val="TableContents"/>
            </w:pPr>
            <w:r>
              <w:rPr>
                <w:rFonts w:cs="Calibri"/>
              </w:rPr>
              <w:br/>
              <w:t xml:space="preserve">Observation. At least 2 generations per year are possible at low latitudes (up to 600 eggs brooded at a time). In northern Europe and arid areas there is usually only one generation per year. It is very versatile in its ecology, able to avoid climatic extremes by burrowing. Females can store sperm and breed at any time of year when conditions become favourable  </w:t>
            </w:r>
            <w:r>
              <w:rPr>
                <w:rFonts w:cs="Calibri"/>
              </w:rPr>
              <w:fldChar w:fldCharType="begin"/>
            </w:r>
            <w:r>
              <w:rPr>
                <w:rFonts w:cs="Calibri"/>
              </w:rPr>
              <w:instrText xml:space="preserve"> ADDIN EN.CITE &lt;EndNote&gt;&lt;Cite&gt;&lt;Author&gt;Stucki&lt;/Author&gt;&lt;Year&gt;2001&lt;/Year&gt;&lt;RecNum&gt;566&lt;/RecNum&gt;&lt;DisplayText&gt;(Stucki, 2002, Stucki &amp;amp;  Romer, 2001)&lt;/DisplayText&gt;&lt;record&gt;&lt;rec-number&gt;566&lt;/rec-number&gt;&lt;foreign-keys&gt;&lt;key app="EN" db-id="0raex5eaedzazoespa0vpwvos95da9w2wewr"&gt;566&lt;/key&gt;&lt;/foreign-keys&gt;&lt;ref-type name="Journal Article"&gt;17&lt;/ref-type&gt;&lt;contributors&gt;&lt;authors&gt;&lt;author&gt;Stucki, Thomas P&lt;/author&gt;&lt;author&gt;Romer, Jann&lt;/author&gt;&lt;/authors&gt;&lt;/contributors&gt;&lt;titles&gt;&lt;title&gt;&lt;style face="normal" font="default" size="100%"&gt;Will &lt;/style&gt;&lt;style face="italic" font="default" size="100%"&gt;Astacus leptodactylus&lt;/style&gt;&lt;style face="normal" font="default" size="100%"&gt; displace &lt;/style&gt;&lt;style face="italic" font="default" size="100%"&gt;Astacus astacus&lt;/style&gt;&lt;style face="normal" font="default" size="100%"&gt; and &lt;/style&gt;&lt;style face="italic" font="default" size="100%"&gt;Austropotamobius torrentium&lt;/style&gt;&lt;style face="normal" font="default" size="100%"&gt; in Lake Ägeri, Switzerland?&lt;/style&gt;&lt;/title&gt;&lt;secondary-title&gt;Aquatic sciences&lt;/secondary-title&gt;&lt;/titles&gt;&lt;periodical&gt;&lt;full-title&gt;Aquatic sciences&lt;/full-title&gt;&lt;/periodical&gt;&lt;pages&gt;477-489&lt;/pages&gt;&lt;volume&gt;63&lt;/volume&gt;&lt;number&gt;4&lt;/number&gt;&lt;dates&gt;&lt;year&gt;2001&lt;/year&gt;&lt;/dates&gt;&lt;isbn&gt;1015-1621&lt;/isbn&gt;&lt;urls&gt;&lt;/urls&gt;&lt;/record&gt;&lt;/Cite&gt;&lt;Cite&gt;&lt;Author&gt;Stucki&lt;/Author&gt;&lt;Year&gt;2002&lt;/Year&gt;&lt;RecNum&gt;567&lt;/RecNum&gt;&lt;record&gt;&lt;rec-number&gt;567&lt;/rec-number&gt;&lt;foreign-keys&gt;&lt;key app="EN" db-id="0raex5eaedzazoespa0vpwvos95da9w2wewr"&gt;567&lt;/key&gt;&lt;/foreign-keys&gt;&lt;ref-type name="Journal Article"&gt;17&lt;/ref-type&gt;&lt;contributors&gt;&lt;authors&gt;&lt;author&gt;Stucki, T. P.&lt;/author&gt;&lt;/authors&gt;&lt;/contributors&gt;&lt;titles&gt;&lt;title&gt;Differences in life history of native and introduced crayfish species in Switzerland&lt;/title&gt;&lt;secondary-title&gt;Freshwater Crayfish&lt;/secondary-title&gt;&lt;/titles&gt;&lt;periodical&gt;&lt;full-title&gt;Freshwater Crayfish&lt;/full-title&gt;&lt;/periodical&gt;&lt;pages&gt;463-476&lt;/pages&gt;&lt;volume&gt;13&lt;/volume&gt;&lt;dates&gt;&lt;year&gt;2002&lt;/year&gt;&lt;/dates&gt;&lt;urls&gt;&lt;/urls&gt;&lt;/record&gt;&lt;/Cite&gt;&lt;/EndNote&gt;</w:instrText>
            </w:r>
            <w:r>
              <w:rPr>
                <w:rFonts w:cs="Calibri"/>
              </w:rPr>
              <w:fldChar w:fldCharType="separate"/>
            </w:r>
            <w:r>
              <w:rPr>
                <w:rFonts w:cs="Calibri"/>
                <w:noProof/>
              </w:rPr>
              <w:t>(</w:t>
            </w:r>
            <w:hyperlink w:anchor="_ENREF_298" w:tooltip="Stucki, 2002 #567" w:history="1">
              <w:r>
                <w:rPr>
                  <w:rFonts w:cs="Calibri"/>
                  <w:noProof/>
                </w:rPr>
                <w:t>Stucki, 2002</w:t>
              </w:r>
            </w:hyperlink>
            <w:r>
              <w:rPr>
                <w:rFonts w:cs="Calibri"/>
                <w:noProof/>
              </w:rPr>
              <w:t xml:space="preserve">, </w:t>
            </w:r>
            <w:hyperlink w:anchor="_ENREF_299" w:tooltip="Stucki, 2001 #566" w:history="1">
              <w:r>
                <w:rPr>
                  <w:rFonts w:cs="Calibri"/>
                  <w:noProof/>
                </w:rPr>
                <w:t>Stucki &amp;  Romer, 2001</w:t>
              </w:r>
            </w:hyperlink>
            <w:r>
              <w:rPr>
                <w:rFonts w:cs="Calibri"/>
                <w:noProof/>
              </w:rPr>
              <w:t>)</w:t>
            </w:r>
            <w:r>
              <w:rPr>
                <w:rFonts w:cs="Calibri"/>
              </w:rPr>
              <w:fldChar w:fldCharType="end"/>
            </w:r>
            <w:r>
              <w:rPr>
                <w:rFonts w:cs="Calibri"/>
              </w:rPr>
              <w:t>. Summer temperature of 22-30</w:t>
            </w:r>
            <w:r>
              <w:rPr>
                <w:rFonts w:cs="Calibri"/>
                <w:i/>
              </w:rPr>
              <w:t>°</w:t>
            </w:r>
            <w:r>
              <w:rPr>
                <w:rFonts w:cs="Calibri"/>
              </w:rPr>
              <w:t xml:space="preserve">C is optimal, but growth and reproduction possible in cooler conditions, e.g. in Netherlands (climatically equivalent to south and east England). Confirmed breeding in England in 2000. Can survive in much colder winter than in England, e.g. under ice in Germany </w:t>
            </w:r>
            <w:r>
              <w:rPr>
                <w:rFonts w:cs="Calibri"/>
              </w:rPr>
              <w:fldChar w:fldCharType="begin"/>
            </w:r>
            <w:r>
              <w:rPr>
                <w:rFonts w:cs="Calibri"/>
              </w:rPr>
              <w:instrText xml:space="preserve"> ADDIN EN.CITE &lt;EndNote&gt;&lt;Cite&gt;&lt;Author&gt;Holdich&lt;/Author&gt;&lt;Year&gt;2009&lt;/Year&gt;&lt;RecNum&gt;450&lt;/RecNum&gt;&lt;DisplayText&gt;(Holdich&lt;style face="italic"&gt; et al.&lt;/style&gt;, 2009, Holdich &amp;amp;  Crandall, 2002)&lt;/DisplayText&gt;&lt;record&gt;&lt;rec-number&gt;450&lt;/rec-number&gt;&lt;foreign-keys&gt;&lt;key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Cite&gt;&lt;Author&gt;Holdich&lt;/Author&gt;&lt;Year&gt;2002&lt;/Year&gt;&lt;RecNum&gt;464&lt;/RecNum&gt;&lt;record&gt;&lt;rec-number&gt;464&lt;/rec-number&gt;&lt;foreign-keys&gt;&lt;key app="EN" db-id="0raex5eaedzazoespa0vpwvos95da9w2wewr"&gt;464&lt;/key&gt;&lt;/foreign-keys&gt;&lt;ref-type name="Book"&gt;6&lt;/ref-type&gt;&lt;contributors&gt;&lt;authors&gt;&lt;author&gt;Holdich, David Malcolm&lt;/author&gt;&lt;author&gt;Crandall, KA&lt;/author&gt;&lt;/authors&gt;&lt;/contributors&gt;&lt;titles&gt;&lt;title&gt;Biology of freshwater crayfish&lt;/title&gt;&lt;/titles&gt;&lt;dates&gt;&lt;year&gt;2002&lt;/year&gt;&lt;/dates&gt;&lt;publisher&gt;Blackwell Science Oxford&lt;/publisher&gt;&lt;isbn&gt;063205431X&lt;/isbn&gt;&lt;urls&gt;&lt;/urls&gt;&lt;/record&gt;&lt;/Cite&gt;&lt;/EndNote&gt;</w:instrText>
            </w:r>
            <w:r>
              <w:rPr>
                <w:rFonts w:cs="Calibri"/>
              </w:rPr>
              <w:fldChar w:fldCharType="separate"/>
            </w:r>
            <w:r>
              <w:rPr>
                <w:rFonts w:cs="Calibri"/>
                <w:noProof/>
              </w:rPr>
              <w:t>(</w:t>
            </w:r>
            <w:hyperlink w:anchor="_ENREF_147" w:tooltip="Holdich, 2009 #450" w:history="1">
              <w:r>
                <w:rPr>
                  <w:rFonts w:cs="Calibri"/>
                  <w:noProof/>
                </w:rPr>
                <w:t>Holdich</w:t>
              </w:r>
              <w:r w:rsidRPr="00C3738B">
                <w:rPr>
                  <w:rFonts w:cs="Calibri"/>
                  <w:i/>
                  <w:noProof/>
                </w:rPr>
                <w:t xml:space="preserve"> et al.</w:t>
              </w:r>
              <w:r>
                <w:rPr>
                  <w:rFonts w:cs="Calibri"/>
                  <w:noProof/>
                </w:rPr>
                <w:t>, 2009</w:t>
              </w:r>
            </w:hyperlink>
            <w:r>
              <w:rPr>
                <w:rFonts w:cs="Calibri"/>
                <w:noProof/>
              </w:rPr>
              <w:t xml:space="preserve">, </w:t>
            </w:r>
            <w:hyperlink w:anchor="_ENREF_148" w:tooltip="Holdich, 2002 #464" w:history="1">
              <w:r>
                <w:rPr>
                  <w:rFonts w:cs="Calibri"/>
                  <w:noProof/>
                </w:rPr>
                <w:t>Holdich &amp;  Crandall, 2002</w:t>
              </w:r>
            </w:hyperlink>
            <w:r>
              <w:rPr>
                <w:rFonts w:cs="Calibri"/>
                <w:noProof/>
              </w:rPr>
              <w:t>)</w:t>
            </w:r>
            <w:r>
              <w:rPr>
                <w:rFonts w:cs="Calibri"/>
              </w:rPr>
              <w:fldChar w:fldCharType="end"/>
            </w:r>
            <w:r>
              <w:rPr>
                <w:rFonts w:cs="Calibri"/>
              </w:rPr>
              <w:t xml:space="preserve">, also introduced into northern USA (Idaho, Ohio). Much of England has conditions that are suitable for breeding, especially in the south and in warm years. In northern England, Wales and Scotland, </w:t>
            </w:r>
            <w:r>
              <w:rPr>
                <w:rFonts w:cs="Calibri"/>
                <w:i/>
              </w:rPr>
              <w:t>P. clarkii</w:t>
            </w:r>
            <w:r>
              <w:rPr>
                <w:rFonts w:cs="Calibri"/>
              </w:rPr>
              <w:t xml:space="preserve"> could easily survive the winters, but the summers are cool and definitely suboptimal. It is likely that reproduction would be less in northern and western areas, but it should not be assumed that it could not occur. Embryo development is not arrested until temperature is below 10</w:t>
            </w:r>
            <w:r>
              <w:rPr>
                <w:rFonts w:cs="Calibri"/>
                <w:i/>
              </w:rPr>
              <w:t>°</w:t>
            </w:r>
            <w:r>
              <w:rPr>
                <w:rFonts w:cs="Calibri"/>
              </w:rPr>
              <w:t xml:space="preserve">C </w:t>
            </w:r>
            <w:r>
              <w:rPr>
                <w:rFonts w:cs="Calibri"/>
              </w:rPr>
              <w:fldChar w:fldCharType="begin"/>
            </w:r>
            <w:r>
              <w:rPr>
                <w:rFonts w:cs="Calibri"/>
              </w:rPr>
              <w:instrText xml:space="preserve"> ADDIN EN.CITE &lt;EndNote&gt;&lt;Cite&gt;&lt;Author&gt;Souty-Grosset&lt;/Author&gt;&lt;Year&gt;2006&lt;/Year&gt;&lt;RecNum&gt;472&lt;/RecNum&gt;&lt;DisplayText&gt;(Souty-Grosset&lt;style face="italic"&gt; et al.&lt;/style&gt;, 2006)&lt;/DisplayText&gt;&lt;record&gt;&lt;rec-number&gt;472&lt;/rec-number&gt;&lt;foreign-keys&gt;&lt;key app="EN" db-id="0raex5eaedzazoespa0vpwvos95da9w2wewr"&gt;472&lt;/key&gt;&lt;/foreign-keys&gt;&lt;ref-type name="Book"&gt;6&lt;/ref-type&gt;&lt;contributors&gt;&lt;authors&gt;&lt;author&gt;Souty-Grosset, Catherine&lt;/author&gt;&lt;author&gt;Holdich, David Malcolm&lt;/author&gt;&lt;author&gt;Noël, Pierre Yves&lt;/author&gt;&lt;author&gt;Reynolds, JD&lt;/author&gt;&lt;author&gt;Haffner, P&lt;/author&gt;&lt;/authors&gt;&lt;/contributors&gt;&lt;titles&gt;&lt;title&gt;Atlas of crayfish in Europe&lt;/title&gt;&lt;/titles&gt;&lt;dates&gt;&lt;year&gt;2006&lt;/year&gt;&lt;/dates&gt;&lt;publisher&gt;Muséum national d&amp;apos;Histoire naturelle&lt;/publisher&gt;&lt;isbn&gt;2856535798&lt;/isbn&gt;&lt;urls&gt;&lt;/urls&gt;&lt;/record&gt;&lt;/Cite&gt;&lt;/EndNote&gt;</w:instrText>
            </w:r>
            <w:r>
              <w:rPr>
                <w:rFonts w:cs="Calibri"/>
              </w:rPr>
              <w:fldChar w:fldCharType="separate"/>
            </w:r>
            <w:r>
              <w:rPr>
                <w:rFonts w:cs="Calibri"/>
                <w:noProof/>
              </w:rPr>
              <w:t>(</w:t>
            </w:r>
            <w:hyperlink w:anchor="_ENREF_286" w:tooltip="Souty-Grosset, 2006 #472" w:history="1">
              <w:r>
                <w:rPr>
                  <w:rFonts w:cs="Calibri"/>
                  <w:noProof/>
                </w:rPr>
                <w:t>Souty-Grosset</w:t>
              </w:r>
              <w:r w:rsidRPr="00C3738B">
                <w:rPr>
                  <w:rFonts w:cs="Calibri"/>
                  <w:i/>
                  <w:noProof/>
                </w:rPr>
                <w:t xml:space="preserve"> et al.</w:t>
              </w:r>
              <w:r>
                <w:rPr>
                  <w:rFonts w:cs="Calibri"/>
                  <w:noProof/>
                </w:rPr>
                <w:t>, 2006</w:t>
              </w:r>
            </w:hyperlink>
            <w:r>
              <w:rPr>
                <w:rFonts w:cs="Calibri"/>
                <w:noProof/>
              </w:rPr>
              <w:t>)</w:t>
            </w:r>
            <w:r>
              <w:rPr>
                <w:rFonts w:cs="Calibri"/>
              </w:rPr>
              <w:fldChar w:fldCharType="end"/>
            </w:r>
            <w:r>
              <w:rPr>
                <w:rFonts w:cs="Calibri"/>
              </w:rPr>
              <w:t xml:space="preserve">. Outcome of competition between </w:t>
            </w:r>
            <w:r>
              <w:rPr>
                <w:rFonts w:cs="Calibri"/>
                <w:i/>
              </w:rPr>
              <w:t>P. clarkii</w:t>
            </w:r>
            <w:r>
              <w:rPr>
                <w:rFonts w:cs="Calibri"/>
              </w:rPr>
              <w:t xml:space="preserve"> and </w:t>
            </w:r>
            <w:r>
              <w:rPr>
                <w:rFonts w:cs="Calibri"/>
                <w:i/>
              </w:rPr>
              <w:t>P. leniusculus</w:t>
            </w:r>
            <w:r>
              <w:rPr>
                <w:rFonts w:cs="Calibri"/>
              </w:rPr>
              <w:t xml:space="preserve"> will probably depend on local habitat and climate. </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lastRenderedPageBreak/>
              <w:t>11. Documents information sources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spacing w:line="240" w:lineRule="atLeast"/>
              <w:ind w:left="720" w:hanging="720"/>
              <w:rPr>
                <w:noProof/>
              </w:rPr>
            </w:pPr>
            <w:r w:rsidRPr="000F21A7">
              <w:rPr>
                <w:b/>
                <w:noProof/>
                <w:lang w:val="it-IT"/>
              </w:rPr>
              <w:t>Capinha C, Larson ER, Tricarico E, Olden JD, Gherardi F. 2013.</w:t>
            </w:r>
            <w:r w:rsidRPr="000F21A7">
              <w:rPr>
                <w:noProof/>
                <w:lang w:val="it-IT"/>
              </w:rPr>
              <w:t xml:space="preserve"> </w:t>
            </w:r>
            <w:r>
              <w:rPr>
                <w:noProof/>
              </w:rPr>
              <w:t xml:space="preserve">Effects of climate change, invasive species, and disease on the distribution of native European crayfishes. </w:t>
            </w:r>
            <w:r w:rsidRPr="00F34CA2">
              <w:rPr>
                <w:i/>
                <w:noProof/>
              </w:rPr>
              <w:t>Conservation Biology</w:t>
            </w:r>
            <w:r w:rsidRPr="00F34CA2">
              <w:rPr>
                <w:b/>
                <w:noProof/>
              </w:rPr>
              <w:t xml:space="preserve"> 27:</w:t>
            </w:r>
            <w:r>
              <w:rPr>
                <w:noProof/>
              </w:rPr>
              <w:t xml:space="preserve"> 731-740.</w:t>
            </w:r>
          </w:p>
          <w:p w:rsidR="00727DC1" w:rsidRDefault="00727DC1" w:rsidP="00C459D7">
            <w:pPr>
              <w:spacing w:line="240" w:lineRule="atLeast"/>
              <w:ind w:left="720" w:hanging="720"/>
              <w:rPr>
                <w:noProof/>
              </w:rPr>
            </w:pPr>
            <w:r w:rsidRPr="00F34CA2">
              <w:rPr>
                <w:b/>
                <w:noProof/>
              </w:rPr>
              <w:t>Chucholl C. 2013.</w:t>
            </w:r>
            <w:r>
              <w:rPr>
                <w:noProof/>
              </w:rPr>
              <w:t xml:space="preserve"> Invaders for sale: trade and determinants of </w:t>
            </w:r>
            <w:r>
              <w:rPr>
                <w:noProof/>
              </w:rPr>
              <w:lastRenderedPageBreak/>
              <w:t xml:space="preserve">introduction of ornamental freshwater crayfish. </w:t>
            </w:r>
            <w:r w:rsidRPr="00F34CA2">
              <w:rPr>
                <w:i/>
                <w:noProof/>
              </w:rPr>
              <w:t>Biological Invasions</w:t>
            </w:r>
            <w:r w:rsidRPr="00F34CA2">
              <w:rPr>
                <w:b/>
                <w:noProof/>
              </w:rPr>
              <w:t xml:space="preserve"> 15:</w:t>
            </w:r>
            <w:r>
              <w:rPr>
                <w:noProof/>
              </w:rPr>
              <w:t xml:space="preserve"> 125-141.</w:t>
            </w:r>
          </w:p>
          <w:p w:rsidR="00727DC1" w:rsidRDefault="00727DC1" w:rsidP="00C459D7">
            <w:pPr>
              <w:spacing w:line="240" w:lineRule="atLeast"/>
              <w:ind w:left="720" w:hanging="720"/>
              <w:rPr>
                <w:noProof/>
              </w:rPr>
            </w:pPr>
            <w:r w:rsidRPr="00F34CA2">
              <w:rPr>
                <w:b/>
                <w:noProof/>
              </w:rPr>
              <w:t>Füreder L, Gherardi F, Holdich D, Reynolds J, Sibley P, Souty-Grosset C. 2010.</w:t>
            </w:r>
            <w:r>
              <w:rPr>
                <w:noProof/>
              </w:rPr>
              <w:t xml:space="preserve"> </w:t>
            </w:r>
            <w:r w:rsidRPr="00F34CA2">
              <w:rPr>
                <w:i/>
                <w:noProof/>
              </w:rPr>
              <w:t>Austropotamobius pallipes</w:t>
            </w:r>
            <w:r>
              <w:rPr>
                <w:noProof/>
              </w:rPr>
              <w:t xml:space="preserve">. </w:t>
            </w:r>
            <w:r w:rsidRPr="00F34CA2">
              <w:rPr>
                <w:i/>
                <w:noProof/>
              </w:rPr>
              <w:t>IUCN 2010: IUCN Red List of Threatened Species. Version 2010.4</w:t>
            </w:r>
            <w:r>
              <w:rPr>
                <w:noProof/>
              </w:rPr>
              <w:t>.</w:t>
            </w:r>
          </w:p>
          <w:p w:rsidR="00727DC1" w:rsidRDefault="00727DC1" w:rsidP="00C459D7">
            <w:pPr>
              <w:spacing w:line="240" w:lineRule="atLeast"/>
              <w:ind w:left="720" w:hanging="720"/>
              <w:rPr>
                <w:noProof/>
              </w:rPr>
            </w:pPr>
            <w:r w:rsidRPr="00F34CA2">
              <w:rPr>
                <w:b/>
                <w:noProof/>
              </w:rPr>
              <w:t>Gherardi F. 2013.</w:t>
            </w:r>
            <w:r>
              <w:rPr>
                <w:noProof/>
              </w:rPr>
              <w:t xml:space="preserve"> Crayfish as global invaders: distribution, impact on ecosystem services and management options. </w:t>
            </w:r>
            <w:r w:rsidRPr="00F34CA2">
              <w:rPr>
                <w:i/>
                <w:noProof/>
              </w:rPr>
              <w:t>Freshwater Crayfish</w:t>
            </w:r>
            <w:r w:rsidRPr="00F34CA2">
              <w:rPr>
                <w:b/>
                <w:noProof/>
              </w:rPr>
              <w:t xml:space="preserve"> 19:</w:t>
            </w:r>
            <w:r>
              <w:rPr>
                <w:noProof/>
              </w:rPr>
              <w:t xml:space="preserve"> 177-187.</w:t>
            </w:r>
          </w:p>
          <w:p w:rsidR="00727DC1" w:rsidRDefault="00727DC1" w:rsidP="00C459D7">
            <w:pPr>
              <w:spacing w:line="240" w:lineRule="atLeast"/>
              <w:ind w:left="720" w:hanging="720"/>
              <w:rPr>
                <w:noProof/>
              </w:rPr>
            </w:pPr>
            <w:r w:rsidRPr="00F34CA2">
              <w:rPr>
                <w:b/>
                <w:noProof/>
              </w:rPr>
              <w:t>Holdich D, Reynolds J, Souty-Grosset C, Sibley P. 2009.</w:t>
            </w:r>
            <w:r>
              <w:rPr>
                <w:noProof/>
              </w:rPr>
              <w:t xml:space="preserve"> A review of the ever increasing threat to European crayfish from non-indigenous crayfish species. </w:t>
            </w:r>
            <w:r w:rsidRPr="00F34CA2">
              <w:rPr>
                <w:i/>
                <w:noProof/>
              </w:rPr>
              <w:t>Knowledge and Management of Aquatic Ecosystems</w:t>
            </w:r>
            <w:r w:rsidRPr="00F34CA2">
              <w:rPr>
                <w:b/>
                <w:noProof/>
              </w:rPr>
              <w:t>:</w:t>
            </w:r>
            <w:r>
              <w:rPr>
                <w:noProof/>
              </w:rPr>
              <w:t xml:space="preserve"> 11.</w:t>
            </w:r>
          </w:p>
          <w:p w:rsidR="00727DC1" w:rsidRDefault="00727DC1" w:rsidP="00C459D7">
            <w:pPr>
              <w:spacing w:line="240" w:lineRule="atLeast"/>
              <w:ind w:left="720" w:hanging="720"/>
              <w:rPr>
                <w:noProof/>
              </w:rPr>
            </w:pPr>
            <w:r w:rsidRPr="00F34CA2">
              <w:rPr>
                <w:b/>
                <w:noProof/>
              </w:rPr>
              <w:t>Holdich DM, Crandall K. 2002.</w:t>
            </w:r>
            <w:r>
              <w:rPr>
                <w:noProof/>
              </w:rPr>
              <w:t xml:space="preserve"> </w:t>
            </w:r>
            <w:r w:rsidRPr="00F34CA2">
              <w:rPr>
                <w:i/>
                <w:noProof/>
              </w:rPr>
              <w:t>Biology of freshwater crayfish</w:t>
            </w:r>
            <w:r>
              <w:rPr>
                <w:noProof/>
              </w:rPr>
              <w:t>. Blackwell Science Oxford.</w:t>
            </w:r>
          </w:p>
          <w:p w:rsidR="00727DC1" w:rsidRDefault="00727DC1" w:rsidP="00C459D7">
            <w:pPr>
              <w:spacing w:line="240" w:lineRule="atLeast"/>
              <w:ind w:left="720" w:hanging="720"/>
              <w:rPr>
                <w:noProof/>
              </w:rPr>
            </w:pPr>
            <w:r w:rsidRPr="000F21A7">
              <w:rPr>
                <w:b/>
                <w:noProof/>
                <w:lang w:val="pl-PL"/>
              </w:rPr>
              <w:t>Liu X, Guo Z, Ke Z, Wang S, Li Y. 2011.</w:t>
            </w:r>
            <w:r w:rsidRPr="000F21A7">
              <w:rPr>
                <w:noProof/>
                <w:lang w:val="pl-PL"/>
              </w:rPr>
              <w:t xml:space="preserve"> </w:t>
            </w:r>
            <w:r>
              <w:rPr>
                <w:noProof/>
              </w:rPr>
              <w:t xml:space="preserve">Increasing potential risk of a global aquatic invader in Europe in contrast to other continents under future climate change. </w:t>
            </w:r>
            <w:r w:rsidRPr="00F34CA2">
              <w:rPr>
                <w:i/>
                <w:noProof/>
              </w:rPr>
              <w:t>PloS one</w:t>
            </w:r>
            <w:r w:rsidRPr="00F34CA2">
              <w:rPr>
                <w:b/>
                <w:noProof/>
              </w:rPr>
              <w:t xml:space="preserve"> 6:</w:t>
            </w:r>
            <w:r>
              <w:rPr>
                <w:noProof/>
              </w:rPr>
              <w:t xml:space="preserve"> e18429.</w:t>
            </w:r>
          </w:p>
          <w:p w:rsidR="00727DC1" w:rsidRDefault="00727DC1" w:rsidP="00C459D7">
            <w:pPr>
              <w:spacing w:line="240" w:lineRule="atLeast"/>
              <w:ind w:left="720" w:hanging="720"/>
              <w:rPr>
                <w:noProof/>
              </w:rPr>
            </w:pPr>
            <w:r w:rsidRPr="00F34CA2">
              <w:rPr>
                <w:b/>
                <w:noProof/>
              </w:rPr>
              <w:t>Souty-Grosset C, Holdich DM, Noël PY, Reynolds J, Haffner P. 2006.</w:t>
            </w:r>
            <w:r>
              <w:rPr>
                <w:noProof/>
              </w:rPr>
              <w:t xml:space="preserve"> </w:t>
            </w:r>
            <w:r w:rsidRPr="00F34CA2">
              <w:rPr>
                <w:i/>
                <w:noProof/>
              </w:rPr>
              <w:t>Atlas of crayfish in Europe</w:t>
            </w:r>
            <w:r>
              <w:rPr>
                <w:noProof/>
              </w:rPr>
              <w:t>. Muséum national d'Histoire naturelle.</w:t>
            </w:r>
          </w:p>
          <w:p w:rsidR="00727DC1" w:rsidRDefault="00727DC1" w:rsidP="00C459D7">
            <w:pPr>
              <w:spacing w:line="240" w:lineRule="atLeast"/>
              <w:ind w:left="720" w:hanging="720"/>
              <w:rPr>
                <w:noProof/>
              </w:rPr>
            </w:pPr>
            <w:r w:rsidRPr="00F34CA2">
              <w:rPr>
                <w:b/>
                <w:noProof/>
              </w:rPr>
              <w:t>Stucki TP. 2002.</w:t>
            </w:r>
            <w:r>
              <w:rPr>
                <w:noProof/>
              </w:rPr>
              <w:t xml:space="preserve"> Differences in life history of native and introduced crayfish species in Switzerland. </w:t>
            </w:r>
            <w:r w:rsidRPr="00F34CA2">
              <w:rPr>
                <w:i/>
                <w:noProof/>
              </w:rPr>
              <w:t>Freshwater Crayfish</w:t>
            </w:r>
            <w:r w:rsidRPr="00F34CA2">
              <w:rPr>
                <w:b/>
                <w:noProof/>
              </w:rPr>
              <w:t xml:space="preserve"> 13:</w:t>
            </w:r>
            <w:r>
              <w:rPr>
                <w:noProof/>
              </w:rPr>
              <w:t xml:space="preserve"> 463-476.</w:t>
            </w:r>
          </w:p>
          <w:p w:rsidR="00727DC1" w:rsidRDefault="00727DC1" w:rsidP="00C459D7">
            <w:pPr>
              <w:spacing w:line="240" w:lineRule="atLeast"/>
              <w:ind w:left="720" w:hanging="720"/>
              <w:rPr>
                <w:noProof/>
              </w:rPr>
            </w:pPr>
            <w:r w:rsidRPr="00F34CA2">
              <w:rPr>
                <w:b/>
                <w:noProof/>
              </w:rPr>
              <w:t>Stucki TP, Romer J. 2001.</w:t>
            </w:r>
            <w:r>
              <w:rPr>
                <w:noProof/>
              </w:rPr>
              <w:t xml:space="preserve"> Will </w:t>
            </w:r>
            <w:r w:rsidRPr="00F34CA2">
              <w:rPr>
                <w:i/>
                <w:noProof/>
              </w:rPr>
              <w:t>Astacus leptodactylus</w:t>
            </w:r>
            <w:r>
              <w:rPr>
                <w:noProof/>
              </w:rPr>
              <w:t xml:space="preserve"> displace </w:t>
            </w:r>
            <w:r w:rsidRPr="00F34CA2">
              <w:rPr>
                <w:i/>
                <w:noProof/>
              </w:rPr>
              <w:t>Astacus astacus</w:t>
            </w:r>
            <w:r>
              <w:rPr>
                <w:noProof/>
              </w:rPr>
              <w:t xml:space="preserve"> and </w:t>
            </w:r>
            <w:r w:rsidRPr="00F34CA2">
              <w:rPr>
                <w:i/>
                <w:noProof/>
              </w:rPr>
              <w:t>Austropotamobius torrentium</w:t>
            </w:r>
            <w:r>
              <w:rPr>
                <w:noProof/>
              </w:rPr>
              <w:t xml:space="preserve"> in Lake Ägeri, Switzerland? </w:t>
            </w:r>
            <w:r w:rsidRPr="00F34CA2">
              <w:rPr>
                <w:i/>
                <w:noProof/>
              </w:rPr>
              <w:t>Aquatic sciences</w:t>
            </w:r>
            <w:r w:rsidRPr="00F34CA2">
              <w:rPr>
                <w:b/>
                <w:noProof/>
              </w:rPr>
              <w:t xml:space="preserve"> 63:</w:t>
            </w:r>
            <w:r>
              <w:rPr>
                <w:noProof/>
              </w:rPr>
              <w:t xml:space="preserve"> 477-489.</w:t>
            </w:r>
          </w:p>
          <w:p w:rsidR="00727DC1" w:rsidRDefault="00727DC1" w:rsidP="00C459D7">
            <w:pPr>
              <w:pStyle w:val="TableContents"/>
              <w:rPr>
                <w:rFonts w:cs="Calibri"/>
              </w:rPr>
            </w:pPr>
          </w:p>
          <w:p w:rsidR="00727DC1" w:rsidRDefault="00727DC1" w:rsidP="00C459D7">
            <w:pPr>
              <w:pStyle w:val="TableContents"/>
              <w:rPr>
                <w:rFonts w:cs="Calibri"/>
              </w:rPr>
            </w:pPr>
            <w:r>
              <w:rPr>
                <w:rFonts w:cs="Calibri"/>
              </w:rPr>
              <w:t>See also:</w:t>
            </w:r>
          </w:p>
          <w:p w:rsidR="00727DC1" w:rsidRPr="000D216E" w:rsidRDefault="00727DC1" w:rsidP="00727DC1">
            <w:pPr>
              <w:pStyle w:val="TableContents"/>
              <w:numPr>
                <w:ilvl w:val="0"/>
                <w:numId w:val="1"/>
              </w:numPr>
            </w:pPr>
            <w:r>
              <w:rPr>
                <w:rFonts w:cs="Calibri"/>
              </w:rPr>
              <w:t xml:space="preserve">The </w:t>
            </w:r>
            <w:hyperlink r:id="rId6" w:history="1">
              <w:r w:rsidRPr="000D216E">
                <w:rPr>
                  <w:rStyle w:val="Hyperlink"/>
                  <w:rFonts w:cs="Calibri"/>
                </w:rPr>
                <w:t>Belgian risk analysis report</w:t>
              </w:r>
            </w:hyperlink>
          </w:p>
          <w:p w:rsidR="00727DC1" w:rsidRDefault="00727DC1" w:rsidP="00727DC1">
            <w:pPr>
              <w:pStyle w:val="TableContents"/>
              <w:numPr>
                <w:ilvl w:val="0"/>
                <w:numId w:val="1"/>
              </w:numPr>
            </w:pPr>
            <w:r>
              <w:rPr>
                <w:rFonts w:cs="Calibri"/>
              </w:rPr>
              <w:t xml:space="preserve">The </w:t>
            </w:r>
            <w:hyperlink r:id="rId7" w:history="1">
              <w:r w:rsidRPr="000D216E">
                <w:rPr>
                  <w:rStyle w:val="Hyperlink"/>
                  <w:rFonts w:cs="Calibri"/>
                </w:rPr>
                <w:t>Irish risk analysis report</w:t>
              </w:r>
            </w:hyperlink>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lastRenderedPageBreak/>
              <w:t>Main experts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rPr>
                <w:rFonts w:cs="Calibri"/>
              </w:rPr>
            </w:pPr>
            <w:r>
              <w:rPr>
                <w:rFonts w:cs="Calibri"/>
              </w:rPr>
              <w:t>Teodora Trichkova</w:t>
            </w:r>
          </w:p>
          <w:p w:rsidR="00727DC1" w:rsidRDefault="00727DC1" w:rsidP="00C459D7">
            <w:pPr>
              <w:pStyle w:val="TableContents"/>
            </w:pPr>
            <w:r>
              <w:rPr>
                <w:rFonts w:cs="Calibri"/>
              </w:rPr>
              <w:t>Merike Linnamagi</w:t>
            </w:r>
          </w:p>
        </w:tc>
      </w:tr>
      <w:tr w:rsidR="00727DC1" w:rsidRPr="00485346"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Other contributing experts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Pr="00485346" w:rsidRDefault="00727DC1" w:rsidP="00C459D7">
            <w:pPr>
              <w:pStyle w:val="TableContents"/>
              <w:rPr>
                <w:rFonts w:cs="Calibri"/>
                <w:lang w:val="it-IT"/>
              </w:rPr>
            </w:pPr>
            <w:r w:rsidRPr="00485346">
              <w:rPr>
                <w:rFonts w:cs="Calibri"/>
                <w:lang w:val="it-IT"/>
              </w:rPr>
              <w:t>Olaf Booy</w:t>
            </w:r>
          </w:p>
          <w:p w:rsidR="00727DC1" w:rsidRPr="00485346" w:rsidRDefault="00727DC1" w:rsidP="00C459D7">
            <w:pPr>
              <w:pStyle w:val="TableContents"/>
              <w:rPr>
                <w:rFonts w:cs="Calibri"/>
                <w:lang w:val="it-IT"/>
              </w:rPr>
            </w:pPr>
            <w:r w:rsidRPr="00485346">
              <w:rPr>
                <w:rFonts w:cs="Calibri"/>
                <w:lang w:val="it-IT"/>
              </w:rPr>
              <w:t xml:space="preserve">Belinda Gallardo </w:t>
            </w:r>
          </w:p>
          <w:p w:rsidR="00727DC1" w:rsidRDefault="00727DC1" w:rsidP="00C459D7">
            <w:pPr>
              <w:pStyle w:val="TableContents"/>
              <w:rPr>
                <w:rFonts w:cs="Calibri"/>
                <w:lang w:val="it-IT"/>
              </w:rPr>
            </w:pPr>
            <w:r w:rsidRPr="00485346">
              <w:rPr>
                <w:rFonts w:cs="Calibri"/>
                <w:lang w:val="it-IT"/>
              </w:rPr>
              <w:t>Piero Genovesi</w:t>
            </w:r>
          </w:p>
          <w:p w:rsidR="00727DC1" w:rsidRPr="00485346" w:rsidRDefault="00727DC1" w:rsidP="00C459D7">
            <w:pPr>
              <w:pStyle w:val="TableContents"/>
              <w:rPr>
                <w:lang w:val="it-IT"/>
              </w:rPr>
            </w:pPr>
            <w:r w:rsidRPr="00835CBE">
              <w:rPr>
                <w:rFonts w:asciiTheme="majorHAnsi" w:hAnsiTheme="majorHAnsi"/>
              </w:rPr>
              <w:t>Leopold Füreder</w:t>
            </w:r>
          </w:p>
        </w:tc>
      </w:tr>
      <w:tr w:rsidR="00727DC1"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t>Notes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Default="00727DC1" w:rsidP="00C459D7">
            <w:pPr>
              <w:pStyle w:val="TableContents"/>
              <w:rPr>
                <w:rFonts w:cs="Calibri"/>
              </w:rPr>
            </w:pPr>
            <w:r>
              <w:rPr>
                <w:rFonts w:cs="Calibri"/>
              </w:rPr>
              <w:t xml:space="preserve">The red swamp crayfish </w:t>
            </w:r>
            <w:r>
              <w:rPr>
                <w:rFonts w:cs="Calibri"/>
                <w:i/>
              </w:rPr>
              <w:t>Procambarus clarkii</w:t>
            </w:r>
            <w:r>
              <w:rPr>
                <w:rFonts w:cs="Calibri"/>
              </w:rPr>
              <w:t xml:space="preserve"> was reported from more than 10 EU countries. Most heavily invaded are Portugal, Spain, Italy and The Netherlands. It is used for human consumption and has become one of the most popular crayfish species in the European aquarium trade.</w:t>
            </w:r>
            <w:r>
              <w:rPr>
                <w:rFonts w:cs="Calibri"/>
              </w:rPr>
              <w:br/>
              <w:t xml:space="preserve">GB NNRA: high risk and low level of uncertainty. </w:t>
            </w:r>
            <w:r>
              <w:rPr>
                <w:rFonts w:cs="Calibri"/>
              </w:rPr>
              <w:br/>
            </w:r>
          </w:p>
          <w:p w:rsidR="00727DC1" w:rsidRDefault="00727DC1" w:rsidP="00C459D7">
            <w:pPr>
              <w:pStyle w:val="TableContents"/>
            </w:pPr>
            <w:r>
              <w:rPr>
                <w:rFonts w:cs="Calibri"/>
              </w:rPr>
              <w:t xml:space="preserve">Information about the socio-economic benefits of the species is given, and recent data on the species environmental impact, impact on ecosystem </w:t>
            </w:r>
            <w:r>
              <w:rPr>
                <w:rFonts w:cs="Calibri"/>
              </w:rPr>
              <w:lastRenderedPageBreak/>
              <w:t>services, impact on protected species and habitats, and results of studies on the effects of climate change are added. Based on all collected information we suggest the risk assessment to be considered as compliant to the minimum standards with the same risk level at European scale with GB.</w:t>
            </w:r>
          </w:p>
        </w:tc>
      </w:tr>
      <w:tr w:rsidR="00727DC1" w:rsidRPr="00A3293E"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727DC1" w:rsidRDefault="00727DC1" w:rsidP="00C459D7">
            <w:pPr>
              <w:pStyle w:val="TableContents"/>
              <w:rPr>
                <w:rFonts w:cs="Calibri"/>
              </w:rPr>
            </w:pPr>
            <w:r>
              <w:rPr>
                <w:rFonts w:cs="Calibri"/>
              </w:rPr>
              <w:lastRenderedPageBreak/>
              <w:t>Outcome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27DC1" w:rsidRPr="00A3293E" w:rsidRDefault="00727DC1" w:rsidP="00C459D7">
            <w:pPr>
              <w:pStyle w:val="TableContents"/>
              <w:rPr>
                <w:rFonts w:cs="Calibri"/>
              </w:rPr>
            </w:pPr>
            <w:r>
              <w:rPr>
                <w:rFonts w:cs="Calibri"/>
              </w:rPr>
              <w:t>Compliant</w:t>
            </w:r>
          </w:p>
        </w:tc>
      </w:tr>
    </w:tbl>
    <w:p w:rsidR="00E50B5D" w:rsidRDefault="00E50B5D">
      <w:bookmarkStart w:id="1" w:name="_GoBack"/>
      <w:bookmarkEnd w:id="1"/>
    </w:p>
    <w:sectPr w:rsidR="00E50B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DAE5E6D"/>
    <w:multiLevelType w:val="hybridMultilevel"/>
    <w:tmpl w:val="999206D8"/>
    <w:lvl w:ilvl="0" w:tplc="E4AC44B0">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MS Mincho"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MS Mincho"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MS Mincho"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1A3DF8"/>
    <w:rsid w:val="001A3DF8"/>
    <w:rsid w:val="00727DC1"/>
    <w:rsid w:val="00E50B5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7DC1"/>
    <w:pPr>
      <w:widowControl w:val="0"/>
      <w:suppressAutoHyphens/>
      <w:spacing w:after="0" w:line="360" w:lineRule="atLeast"/>
      <w:jc w:val="both"/>
      <w:textAlignment w:val="baseline"/>
    </w:pPr>
    <w:rPr>
      <w:rFonts w:ascii="Calibri" w:eastAsia="SimSun" w:hAnsi="Calibri" w:cs="Times New Roman"/>
      <w:sz w:val="24"/>
      <w:szCs w:val="24"/>
      <w:lang w:eastAsia="zh-CN"/>
    </w:rPr>
  </w:style>
  <w:style w:type="paragraph" w:styleId="Heading3">
    <w:name w:val="heading 3"/>
    <w:basedOn w:val="Normal"/>
    <w:next w:val="BodyText"/>
    <w:link w:val="Heading3Char"/>
    <w:qFormat/>
    <w:rsid w:val="00727DC1"/>
    <w:pPr>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727DC1"/>
    <w:rPr>
      <w:rFonts w:ascii="Calibri" w:eastAsia="SimSun" w:hAnsi="Calibri" w:cs="Times New Roman"/>
      <w:i/>
      <w:sz w:val="24"/>
      <w:szCs w:val="24"/>
      <w:lang w:eastAsia="zh-CN"/>
    </w:rPr>
  </w:style>
  <w:style w:type="character" w:styleId="Hyperlink">
    <w:name w:val="Hyperlink"/>
    <w:uiPriority w:val="99"/>
    <w:rsid w:val="00727DC1"/>
    <w:rPr>
      <w:color w:val="000080"/>
      <w:u w:val="single"/>
    </w:rPr>
  </w:style>
  <w:style w:type="paragraph" w:customStyle="1" w:styleId="TableContents">
    <w:name w:val="Table Contents"/>
    <w:basedOn w:val="Normal"/>
    <w:rsid w:val="00727DC1"/>
    <w:pPr>
      <w:suppressLineNumbers/>
    </w:pPr>
  </w:style>
  <w:style w:type="paragraph" w:styleId="BodyText">
    <w:name w:val="Body Text"/>
    <w:basedOn w:val="Normal"/>
    <w:link w:val="BodyTextChar"/>
    <w:uiPriority w:val="99"/>
    <w:semiHidden/>
    <w:unhideWhenUsed/>
    <w:rsid w:val="00727DC1"/>
    <w:pPr>
      <w:spacing w:after="120"/>
    </w:pPr>
  </w:style>
  <w:style w:type="character" w:customStyle="1" w:styleId="BodyTextChar">
    <w:name w:val="Body Text Char"/>
    <w:basedOn w:val="DefaultParagraphFont"/>
    <w:link w:val="BodyText"/>
    <w:uiPriority w:val="99"/>
    <w:semiHidden/>
    <w:rsid w:val="00727DC1"/>
    <w:rPr>
      <w:rFonts w:ascii="Calibri" w:eastAsia="SimSun" w:hAnsi="Calibri" w:cs="Times New Roman"/>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7DC1"/>
    <w:pPr>
      <w:widowControl w:val="0"/>
      <w:suppressAutoHyphens/>
      <w:spacing w:after="0" w:line="360" w:lineRule="atLeast"/>
      <w:jc w:val="both"/>
      <w:textAlignment w:val="baseline"/>
    </w:pPr>
    <w:rPr>
      <w:rFonts w:ascii="Calibri" w:eastAsia="SimSun" w:hAnsi="Calibri" w:cs="Times New Roman"/>
      <w:sz w:val="24"/>
      <w:szCs w:val="24"/>
      <w:lang w:eastAsia="zh-CN"/>
    </w:rPr>
  </w:style>
  <w:style w:type="paragraph" w:styleId="Heading3">
    <w:name w:val="heading 3"/>
    <w:basedOn w:val="Normal"/>
    <w:next w:val="BodyText"/>
    <w:link w:val="Heading3Char"/>
    <w:qFormat/>
    <w:rsid w:val="00727DC1"/>
    <w:pPr>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727DC1"/>
    <w:rPr>
      <w:rFonts w:ascii="Calibri" w:eastAsia="SimSun" w:hAnsi="Calibri" w:cs="Times New Roman"/>
      <w:i/>
      <w:sz w:val="24"/>
      <w:szCs w:val="24"/>
      <w:lang w:eastAsia="zh-CN"/>
    </w:rPr>
  </w:style>
  <w:style w:type="character" w:styleId="Hyperlink">
    <w:name w:val="Hyperlink"/>
    <w:uiPriority w:val="99"/>
    <w:rsid w:val="00727DC1"/>
    <w:rPr>
      <w:color w:val="000080"/>
      <w:u w:val="single"/>
    </w:rPr>
  </w:style>
  <w:style w:type="paragraph" w:customStyle="1" w:styleId="TableContents">
    <w:name w:val="Table Contents"/>
    <w:basedOn w:val="Normal"/>
    <w:rsid w:val="00727DC1"/>
    <w:pPr>
      <w:suppressLineNumbers/>
    </w:pPr>
  </w:style>
  <w:style w:type="paragraph" w:styleId="BodyText">
    <w:name w:val="Body Text"/>
    <w:basedOn w:val="Normal"/>
    <w:link w:val="BodyTextChar"/>
    <w:uiPriority w:val="99"/>
    <w:semiHidden/>
    <w:unhideWhenUsed/>
    <w:rsid w:val="00727DC1"/>
    <w:pPr>
      <w:spacing w:after="120"/>
    </w:pPr>
  </w:style>
  <w:style w:type="character" w:customStyle="1" w:styleId="BodyTextChar">
    <w:name w:val="Body Text Char"/>
    <w:basedOn w:val="DefaultParagraphFont"/>
    <w:link w:val="BodyText"/>
    <w:uiPriority w:val="99"/>
    <w:semiHidden/>
    <w:rsid w:val="00727DC1"/>
    <w:rPr>
      <w:rFonts w:ascii="Calibri" w:eastAsia="SimSun" w:hAnsi="Calibri"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nonnativespecies.ie/wp-content/uploads/2014/03/Procambarus-clarkii-Red-Swamp-Crayfish1.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iodiversity.be/2642/download"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5716</Words>
  <Characters>32358</Characters>
  <Application>Microsoft Office Word</Application>
  <DocSecurity>0</DocSecurity>
  <Lines>1043</Lines>
  <Paragraphs>369</Paragraphs>
  <ScaleCrop>false</ScaleCrop>
  <Company>European Commission</Company>
  <LinksUpToDate>false</LinksUpToDate>
  <CharactersWithSpaces>37705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FLEVARIS Spyridon (AGRI)</dc:creator>
  <cp:keywords/>
  <dc:description/>
  <cp:lastModifiedBy>FLEVARIS Spyridon (AGRI)</cp:lastModifiedBy>
  <cp:revision>2</cp:revision>
  <dcterms:created xsi:type="dcterms:W3CDTF">2015-05-11T13:51:00Z</dcterms:created>
  <dcterms:modified xsi:type="dcterms:W3CDTF">2015-05-11T13:51:00Z</dcterms:modified>
</cp:coreProperties>
</file>