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Layout w:type="fixed"/>
        <w:tblCellMar>
          <w:left w:w="0" w:type="dxa"/>
          <w:right w:w="0" w:type="dxa"/>
        </w:tblCellMar>
        <w:tblLook w:val="0000" w:firstRow="0" w:lastRow="0" w:firstColumn="0" w:lastColumn="0" w:noHBand="0" w:noVBand="0"/>
      </w:tblPr>
      <w:tblGrid>
        <w:gridCol w:w="1814"/>
        <w:gridCol w:w="567"/>
        <w:gridCol w:w="5272"/>
        <w:gridCol w:w="1815"/>
      </w:tblGrid>
      <w:tr w:rsidR="00964FFD" w:rsidRPr="00226E3B" w14:paraId="031CB691" w14:textId="77777777" w:rsidTr="002C7BBA">
        <w:trPr>
          <w:trHeight w:val="1440"/>
        </w:trPr>
        <w:tc>
          <w:tcPr>
            <w:tcW w:w="2381" w:type="dxa"/>
            <w:gridSpan w:val="2"/>
            <w:tcBorders>
              <w:top w:val="nil"/>
              <w:left w:val="nil"/>
              <w:bottom w:val="nil"/>
              <w:right w:val="nil"/>
            </w:tcBorders>
          </w:tcPr>
          <w:p w14:paraId="3A3911EC" w14:textId="77777777" w:rsidR="00964FFD" w:rsidRPr="007A0A77" w:rsidRDefault="00964FFD" w:rsidP="002C7BBA">
            <w:pPr>
              <w:pStyle w:val="ZCom"/>
              <w:rPr>
                <w:rFonts w:ascii="Times New Roman" w:hAnsi="Times New Roman" w:cs="Times New Roman"/>
              </w:rPr>
            </w:pPr>
            <w:r w:rsidRPr="007A0A77">
              <w:rPr>
                <w:rFonts w:ascii="Times New Roman" w:hAnsi="Times New Roman" w:cs="Times New Roman"/>
                <w:noProof/>
                <w:sz w:val="20"/>
                <w:szCs w:val="20"/>
              </w:rPr>
              <w:drawing>
                <wp:inline distT="0" distB="0" distL="0" distR="0" wp14:anchorId="4495C1C4" wp14:editId="40374901">
                  <wp:extent cx="1511925" cy="680085"/>
                  <wp:effectExtent l="0" t="0" r="0" b="5715"/>
                  <wp:docPr id="3" name="Pictur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ec_17_colors_300dp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2628" cy="680401"/>
                          </a:xfrm>
                          <a:prstGeom prst="rect">
                            <a:avLst/>
                          </a:prstGeom>
                          <a:noFill/>
                          <a:ln>
                            <a:noFill/>
                          </a:ln>
                        </pic:spPr>
                      </pic:pic>
                    </a:graphicData>
                  </a:graphic>
                </wp:inline>
              </w:drawing>
            </w:r>
          </w:p>
        </w:tc>
        <w:tc>
          <w:tcPr>
            <w:tcW w:w="7087" w:type="dxa"/>
            <w:gridSpan w:val="2"/>
            <w:tcBorders>
              <w:top w:val="nil"/>
              <w:left w:val="nil"/>
              <w:bottom w:val="nil"/>
              <w:right w:val="nil"/>
            </w:tcBorders>
          </w:tcPr>
          <w:p w14:paraId="3A716433" w14:textId="77777777" w:rsidR="00964FFD" w:rsidRPr="007A0A77" w:rsidRDefault="00964FFD" w:rsidP="002C7BBA">
            <w:pPr>
              <w:pStyle w:val="ZCom"/>
              <w:spacing w:before="20"/>
              <w:ind w:left="170"/>
              <w:rPr>
                <w:rFonts w:ascii="Times New Roman" w:hAnsi="Times New Roman" w:cs="Times New Roman"/>
              </w:rPr>
            </w:pPr>
            <w:r w:rsidRPr="007A0A77">
              <w:rPr>
                <w:rFonts w:ascii="Times New Roman" w:hAnsi="Times New Roman" w:cs="Times New Roman"/>
              </w:rPr>
              <w:t>EUROPEAN COMMISSION</w:t>
            </w:r>
          </w:p>
          <w:p w14:paraId="535341C9" w14:textId="77777777" w:rsidR="00A6332B" w:rsidRDefault="00964FFD" w:rsidP="002C7BBA">
            <w:pPr>
              <w:pStyle w:val="ZDGName"/>
              <w:spacing w:before="20"/>
              <w:ind w:left="170"/>
              <w:rPr>
                <w:rFonts w:ascii="Times New Roman" w:hAnsi="Times New Roman" w:cs="Times New Roman"/>
                <w:sz w:val="20"/>
              </w:rPr>
            </w:pPr>
            <w:r w:rsidRPr="007A0A77">
              <w:rPr>
                <w:rFonts w:ascii="Times New Roman" w:hAnsi="Times New Roman" w:cs="Times New Roman"/>
                <w:sz w:val="20"/>
              </w:rPr>
              <w:t>EUROSTAT</w:t>
            </w:r>
          </w:p>
          <w:p w14:paraId="49A27975" w14:textId="1D369DDF" w:rsidR="00964FFD" w:rsidRPr="007A0A77" w:rsidRDefault="00964FFD" w:rsidP="002C7BBA">
            <w:pPr>
              <w:pStyle w:val="ZDGName"/>
              <w:spacing w:before="20"/>
              <w:ind w:left="170"/>
              <w:rPr>
                <w:rFonts w:ascii="Times New Roman" w:hAnsi="Times New Roman" w:cs="Times New Roman"/>
              </w:rPr>
            </w:pPr>
            <w:r w:rsidRPr="007A0A77">
              <w:rPr>
                <w:rFonts w:ascii="Times New Roman" w:hAnsi="Times New Roman" w:cs="Times New Roman"/>
              </w:rPr>
              <w:t>Directorate E: Sectoral and regional statistics</w:t>
            </w:r>
          </w:p>
          <w:p w14:paraId="791A5ADD" w14:textId="77777777" w:rsidR="00964FFD" w:rsidRPr="007A0A77" w:rsidRDefault="00964FFD" w:rsidP="002C7BBA">
            <w:pPr>
              <w:pStyle w:val="ZDGName"/>
              <w:spacing w:before="20"/>
              <w:ind w:left="170"/>
              <w:rPr>
                <w:rFonts w:ascii="Times New Roman" w:hAnsi="Times New Roman" w:cs="Times New Roman"/>
              </w:rPr>
            </w:pPr>
            <w:r w:rsidRPr="007A0A77">
              <w:rPr>
                <w:rFonts w:ascii="Times New Roman" w:hAnsi="Times New Roman" w:cs="Times New Roman"/>
                <w:b/>
                <w:bCs/>
              </w:rPr>
              <w:t>Unit E.5: Energy</w:t>
            </w:r>
          </w:p>
        </w:tc>
      </w:tr>
      <w:tr w:rsidR="00964FFD" w:rsidRPr="00226E3B" w14:paraId="5A3B6272" w14:textId="77777777" w:rsidTr="002C7BBA">
        <w:trPr>
          <w:trHeight w:val="1440"/>
        </w:trPr>
        <w:tc>
          <w:tcPr>
            <w:tcW w:w="1814" w:type="dxa"/>
            <w:tcBorders>
              <w:top w:val="nil"/>
              <w:left w:val="nil"/>
              <w:bottom w:val="nil"/>
              <w:right w:val="nil"/>
            </w:tcBorders>
          </w:tcPr>
          <w:p w14:paraId="7F9489E6" w14:textId="77777777" w:rsidR="00964FFD" w:rsidRPr="007A0A77" w:rsidRDefault="00964FFD" w:rsidP="002C7BBA">
            <w:pPr>
              <w:pStyle w:val="ZCom"/>
              <w:rPr>
                <w:rFonts w:ascii="Times New Roman" w:hAnsi="Times New Roman" w:cs="Times New Roman"/>
              </w:rPr>
            </w:pPr>
          </w:p>
        </w:tc>
        <w:tc>
          <w:tcPr>
            <w:tcW w:w="5839" w:type="dxa"/>
            <w:gridSpan w:val="2"/>
            <w:tcBorders>
              <w:top w:val="nil"/>
              <w:left w:val="nil"/>
              <w:bottom w:val="nil"/>
              <w:right w:val="nil"/>
            </w:tcBorders>
          </w:tcPr>
          <w:p w14:paraId="007B49BA" w14:textId="77777777" w:rsidR="00964FFD" w:rsidRPr="007A0A77" w:rsidRDefault="00964FFD" w:rsidP="002C7BBA">
            <w:pPr>
              <w:pStyle w:val="ZDGName"/>
              <w:rPr>
                <w:rFonts w:ascii="Times New Roman" w:hAnsi="Times New Roman" w:cs="Times New Roman"/>
              </w:rPr>
            </w:pPr>
          </w:p>
        </w:tc>
        <w:tc>
          <w:tcPr>
            <w:tcW w:w="1815" w:type="dxa"/>
            <w:tcBorders>
              <w:top w:val="nil"/>
              <w:left w:val="nil"/>
              <w:bottom w:val="nil"/>
              <w:right w:val="nil"/>
            </w:tcBorders>
          </w:tcPr>
          <w:p w14:paraId="14C810DB" w14:textId="77777777" w:rsidR="00964FFD" w:rsidRPr="007A0A77" w:rsidRDefault="00964FFD" w:rsidP="002C7BBA">
            <w:pPr>
              <w:pStyle w:val="ZCom"/>
              <w:rPr>
                <w:rFonts w:ascii="Times New Roman" w:hAnsi="Times New Roman" w:cs="Times New Roman"/>
              </w:rPr>
            </w:pPr>
          </w:p>
        </w:tc>
      </w:tr>
    </w:tbl>
    <w:p w14:paraId="401406A4" w14:textId="64E2FFC3" w:rsidR="00A6332B" w:rsidRDefault="00964FFD" w:rsidP="00964FFD">
      <w:pPr>
        <w:pStyle w:val="Date"/>
      </w:pPr>
      <w:r w:rsidRPr="007A0A77">
        <w:t xml:space="preserve">Luxembourg, </w:t>
      </w:r>
      <w:r w:rsidR="00FE2942">
        <w:t>1</w:t>
      </w:r>
      <w:r w:rsidR="003C5790">
        <w:t>2</w:t>
      </w:r>
      <w:r w:rsidR="0050279C">
        <w:t xml:space="preserve"> March</w:t>
      </w:r>
      <w:r w:rsidRPr="007A0A77">
        <w:t xml:space="preserve"> 202</w:t>
      </w:r>
      <w:r w:rsidR="00FE2942">
        <w:t>4</w:t>
      </w:r>
    </w:p>
    <w:p w14:paraId="63C5EF39" w14:textId="3C0FAAB0" w:rsidR="00964FFD" w:rsidRPr="007A0A77" w:rsidRDefault="00964FFD" w:rsidP="00964FFD">
      <w:pPr>
        <w:pStyle w:val="NoteHead"/>
        <w:spacing w:after="0"/>
        <w:rPr>
          <w:sz w:val="56"/>
          <w:szCs w:val="56"/>
        </w:rPr>
      </w:pPr>
      <w:r w:rsidRPr="007A0A77">
        <w:rPr>
          <w:sz w:val="56"/>
          <w:szCs w:val="56"/>
        </w:rPr>
        <w:t xml:space="preserve">Energy Statistics </w:t>
      </w:r>
    </w:p>
    <w:p w14:paraId="3B773D2B" w14:textId="77777777" w:rsidR="00964FFD" w:rsidRPr="007A0A77" w:rsidRDefault="00964FFD" w:rsidP="00964FFD">
      <w:pPr>
        <w:pStyle w:val="NoteHead"/>
        <w:spacing w:before="0" w:after="600"/>
        <w:rPr>
          <w:sz w:val="56"/>
          <w:szCs w:val="56"/>
        </w:rPr>
      </w:pPr>
      <w:r w:rsidRPr="007A0A77">
        <w:rPr>
          <w:sz w:val="56"/>
          <w:szCs w:val="56"/>
        </w:rPr>
        <w:t>Working Group</w:t>
      </w:r>
    </w:p>
    <w:p w14:paraId="18C22145" w14:textId="708B15B5" w:rsidR="00A6332B" w:rsidRDefault="00FE2942" w:rsidP="00964FFD">
      <w:pPr>
        <w:pStyle w:val="Subject"/>
        <w:jc w:val="center"/>
        <w:rPr>
          <w:sz w:val="40"/>
          <w:szCs w:val="40"/>
        </w:rPr>
      </w:pPr>
      <w:r>
        <w:rPr>
          <w:sz w:val="40"/>
          <w:szCs w:val="40"/>
        </w:rPr>
        <w:t>17</w:t>
      </w:r>
      <w:r w:rsidR="00964FFD" w:rsidRPr="00D22385">
        <w:rPr>
          <w:sz w:val="40"/>
          <w:szCs w:val="40"/>
        </w:rPr>
        <w:t>-</w:t>
      </w:r>
      <w:r>
        <w:rPr>
          <w:sz w:val="40"/>
          <w:szCs w:val="40"/>
        </w:rPr>
        <w:t>19</w:t>
      </w:r>
      <w:r w:rsidR="00964FFD" w:rsidRPr="00D22385">
        <w:rPr>
          <w:sz w:val="40"/>
          <w:szCs w:val="40"/>
        </w:rPr>
        <w:t xml:space="preserve"> April 2</w:t>
      </w:r>
      <w:r w:rsidR="0050279C">
        <w:rPr>
          <w:sz w:val="40"/>
          <w:szCs w:val="40"/>
        </w:rPr>
        <w:t>02</w:t>
      </w:r>
      <w:r>
        <w:rPr>
          <w:sz w:val="40"/>
          <w:szCs w:val="40"/>
        </w:rPr>
        <w:t>4</w:t>
      </w:r>
    </w:p>
    <w:p w14:paraId="6A830BE3" w14:textId="77777777" w:rsidR="00A6332B" w:rsidRDefault="00A6332B" w:rsidP="00964FFD">
      <w:pPr>
        <w:rPr>
          <w:b/>
          <w:smallCaps/>
          <w:szCs w:val="24"/>
        </w:rPr>
      </w:pPr>
    </w:p>
    <w:p w14:paraId="4895B47E" w14:textId="77777777" w:rsidR="00F77FA8" w:rsidRDefault="00F77FA8" w:rsidP="00D22385">
      <w:pPr>
        <w:pBdr>
          <w:top w:val="single" w:sz="2" w:space="1" w:color="auto"/>
          <w:left w:val="single" w:sz="2" w:space="4" w:color="auto"/>
          <w:bottom w:val="single" w:sz="2" w:space="1" w:color="auto"/>
          <w:right w:val="single" w:sz="2" w:space="4" w:color="auto"/>
        </w:pBdr>
        <w:spacing w:after="0"/>
        <w:jc w:val="center"/>
        <w:rPr>
          <w:b/>
          <w:smallCaps/>
          <w:w w:val="130"/>
          <w:sz w:val="40"/>
          <w:szCs w:val="52"/>
        </w:rPr>
      </w:pPr>
      <w:r w:rsidRPr="00F77FA8">
        <w:rPr>
          <w:b/>
          <w:smallCaps/>
          <w:w w:val="130"/>
          <w:sz w:val="40"/>
          <w:szCs w:val="52"/>
        </w:rPr>
        <w:t>Reporting of AC/DC capacities for solar PV</w:t>
      </w:r>
    </w:p>
    <w:p w14:paraId="06F015AC" w14:textId="7CB3067F" w:rsidR="00A6332B" w:rsidRDefault="00964FFD" w:rsidP="00D22385">
      <w:pPr>
        <w:pBdr>
          <w:top w:val="single" w:sz="2" w:space="1" w:color="auto"/>
          <w:left w:val="single" w:sz="2" w:space="4" w:color="auto"/>
          <w:bottom w:val="single" w:sz="2" w:space="1" w:color="auto"/>
          <w:right w:val="single" w:sz="2" w:space="4" w:color="auto"/>
        </w:pBdr>
        <w:spacing w:after="0"/>
        <w:jc w:val="center"/>
        <w:rPr>
          <w:b/>
          <w:sz w:val="28"/>
          <w:szCs w:val="28"/>
        </w:rPr>
      </w:pPr>
      <w:r w:rsidRPr="00BA6DFD">
        <w:rPr>
          <w:b/>
          <w:sz w:val="28"/>
          <w:szCs w:val="28"/>
        </w:rPr>
        <w:t>Doc. ESWG</w:t>
      </w:r>
      <w:r w:rsidR="00D22385">
        <w:rPr>
          <w:b/>
          <w:sz w:val="28"/>
          <w:szCs w:val="28"/>
        </w:rPr>
        <w:t>-</w:t>
      </w:r>
      <w:r w:rsidRPr="00BA6DFD">
        <w:rPr>
          <w:b/>
          <w:sz w:val="28"/>
          <w:szCs w:val="28"/>
        </w:rPr>
        <w:t>202</w:t>
      </w:r>
      <w:r w:rsidR="0050279C">
        <w:rPr>
          <w:b/>
          <w:sz w:val="28"/>
          <w:szCs w:val="28"/>
        </w:rPr>
        <w:t>2</w:t>
      </w:r>
      <w:r w:rsidR="00D22385">
        <w:rPr>
          <w:b/>
          <w:sz w:val="28"/>
          <w:szCs w:val="28"/>
        </w:rPr>
        <w:t>-</w:t>
      </w:r>
      <w:r w:rsidRPr="00BA6DFD">
        <w:rPr>
          <w:b/>
          <w:sz w:val="28"/>
          <w:szCs w:val="28"/>
        </w:rPr>
        <w:t>I</w:t>
      </w:r>
      <w:r w:rsidR="00D22385">
        <w:rPr>
          <w:b/>
          <w:sz w:val="28"/>
          <w:szCs w:val="28"/>
        </w:rPr>
        <w:t>-</w:t>
      </w:r>
      <w:r w:rsidR="00F77FA8">
        <w:rPr>
          <w:b/>
          <w:sz w:val="28"/>
          <w:szCs w:val="28"/>
        </w:rPr>
        <w:t>3</w:t>
      </w:r>
    </w:p>
    <w:p w14:paraId="437C2513" w14:textId="77777777" w:rsidR="00A6332B" w:rsidRDefault="00A6332B" w:rsidP="00964FFD">
      <w:pPr>
        <w:spacing w:after="0"/>
        <w:rPr>
          <w:b/>
        </w:rPr>
      </w:pPr>
    </w:p>
    <w:p w14:paraId="5ECEABF7" w14:textId="77777777" w:rsidR="00964FFD" w:rsidRPr="007A0A77" w:rsidRDefault="00964FFD" w:rsidP="00964FFD">
      <w:pPr>
        <w:tabs>
          <w:tab w:val="left" w:pos="2985"/>
        </w:tabs>
        <w:spacing w:after="0"/>
        <w:rPr>
          <w:b/>
        </w:rPr>
      </w:pPr>
      <w:r>
        <w:rPr>
          <w:b/>
        </w:rPr>
        <w:tab/>
      </w:r>
    </w:p>
    <w:p w14:paraId="39A7F980" w14:textId="044D0FDF" w:rsidR="00964FFD" w:rsidRDefault="00964FFD" w:rsidP="00964FFD">
      <w:pPr>
        <w:spacing w:after="0"/>
        <w:rPr>
          <w:b/>
        </w:rPr>
      </w:pPr>
    </w:p>
    <w:p w14:paraId="1B66940A" w14:textId="393C7E9C" w:rsidR="00A6332B" w:rsidRDefault="00A6332B" w:rsidP="00964FFD">
      <w:pPr>
        <w:spacing w:after="0"/>
        <w:rPr>
          <w:b/>
        </w:rPr>
      </w:pPr>
    </w:p>
    <w:p w14:paraId="60D20814" w14:textId="4115DB9D" w:rsidR="00A6332B" w:rsidRDefault="00A6332B" w:rsidP="00964FFD">
      <w:pPr>
        <w:spacing w:after="0"/>
        <w:rPr>
          <w:b/>
        </w:rPr>
      </w:pPr>
    </w:p>
    <w:p w14:paraId="7E96F50A" w14:textId="5A84C74C" w:rsidR="00A6332B" w:rsidRDefault="00A6332B" w:rsidP="00964FFD">
      <w:pPr>
        <w:spacing w:after="0"/>
        <w:rPr>
          <w:b/>
        </w:rPr>
      </w:pPr>
    </w:p>
    <w:p w14:paraId="32DE8228" w14:textId="1130C768" w:rsidR="00A6332B" w:rsidRDefault="00A6332B" w:rsidP="00964FFD">
      <w:pPr>
        <w:spacing w:after="0"/>
        <w:rPr>
          <w:b/>
        </w:rPr>
      </w:pPr>
    </w:p>
    <w:p w14:paraId="0CA72F95" w14:textId="77777777" w:rsidR="00A6332B" w:rsidRDefault="00A6332B" w:rsidP="00964FFD">
      <w:pPr>
        <w:spacing w:after="0"/>
        <w:rPr>
          <w:b/>
        </w:rPr>
      </w:pPr>
    </w:p>
    <w:p w14:paraId="04D92D44" w14:textId="77777777" w:rsidR="00A6332B" w:rsidRDefault="00A6332B" w:rsidP="00964FFD">
      <w:pPr>
        <w:spacing w:after="0"/>
        <w:rPr>
          <w:b/>
        </w:rPr>
      </w:pPr>
    </w:p>
    <w:p w14:paraId="14C4FA82" w14:textId="77777777" w:rsidR="0084313E" w:rsidRPr="007A0A77" w:rsidRDefault="0084313E" w:rsidP="00964FFD">
      <w:pPr>
        <w:spacing w:after="0"/>
        <w:rPr>
          <w:b/>
        </w:rPr>
      </w:pPr>
    </w:p>
    <w:p w14:paraId="30E46224" w14:textId="63F690D3" w:rsidR="00964FFD" w:rsidRPr="007A0A77" w:rsidRDefault="00964FFD" w:rsidP="00964FFD">
      <w:pPr>
        <w:jc w:val="left"/>
        <w:rPr>
          <w:szCs w:val="24"/>
        </w:rPr>
      </w:pPr>
      <w:r w:rsidRPr="007A0A77">
        <w:rPr>
          <w:bCs/>
          <w:szCs w:val="24"/>
        </w:rPr>
        <w:t xml:space="preserve">Document uploaded on CIRCABC on </w:t>
      </w:r>
      <w:r w:rsidR="006B5C1D">
        <w:rPr>
          <w:bCs/>
          <w:szCs w:val="24"/>
        </w:rPr>
        <w:t>1</w:t>
      </w:r>
      <w:r w:rsidR="00321064">
        <w:rPr>
          <w:bCs/>
          <w:szCs w:val="24"/>
        </w:rPr>
        <w:t>3</w:t>
      </w:r>
      <w:r w:rsidRPr="00A00B5C">
        <w:rPr>
          <w:bCs/>
          <w:szCs w:val="24"/>
        </w:rPr>
        <w:t xml:space="preserve"> </w:t>
      </w:r>
      <w:r w:rsidR="0050279C">
        <w:rPr>
          <w:bCs/>
          <w:szCs w:val="24"/>
        </w:rPr>
        <w:t>March 202</w:t>
      </w:r>
      <w:r w:rsidR="00777EFD">
        <w:rPr>
          <w:bCs/>
          <w:szCs w:val="24"/>
        </w:rPr>
        <w:t>4</w:t>
      </w:r>
      <w:r w:rsidRPr="00A00B5C">
        <w:rPr>
          <w:bCs/>
          <w:szCs w:val="24"/>
        </w:rPr>
        <w:t>:</w:t>
      </w:r>
      <w:r w:rsidRPr="007A0A77">
        <w:rPr>
          <w:bCs/>
          <w:szCs w:val="24"/>
        </w:rPr>
        <w:t xml:space="preserve"> </w:t>
      </w:r>
      <w:hyperlink r:id="rId9" w:history="1">
        <w:r w:rsidRPr="007A0A77">
          <w:rPr>
            <w:rStyle w:val="Hyperlink"/>
            <w:szCs w:val="24"/>
          </w:rPr>
          <w:t>https://circabc.europa.eu</w:t>
        </w:r>
      </w:hyperlink>
      <w:r w:rsidRPr="007A0A77">
        <w:rPr>
          <w:szCs w:val="24"/>
        </w:rPr>
        <w:t xml:space="preserve"> </w:t>
      </w:r>
    </w:p>
    <w:p w14:paraId="06039D87" w14:textId="77777777" w:rsidR="00A6332B" w:rsidRDefault="00A6332B">
      <w:pPr>
        <w:spacing w:before="0" w:after="200" w:line="276" w:lineRule="auto"/>
        <w:jc w:val="left"/>
      </w:pPr>
      <w:r>
        <w:br w:type="page"/>
      </w:r>
    </w:p>
    <w:p w14:paraId="0DA68F51" w14:textId="77777777" w:rsidR="00FF39B9" w:rsidRPr="007A0A77" w:rsidRDefault="00FF39B9" w:rsidP="00A6332B">
      <w:pPr>
        <w:spacing w:before="240" w:after="360"/>
        <w:rPr>
          <w:b/>
          <w:smallCaps/>
          <w:sz w:val="28"/>
          <w:szCs w:val="28"/>
        </w:rPr>
      </w:pPr>
      <w:r w:rsidRPr="007A0A77">
        <w:rPr>
          <w:b/>
          <w:smallCaps/>
          <w:sz w:val="28"/>
          <w:szCs w:val="28"/>
        </w:rPr>
        <w:lastRenderedPageBreak/>
        <w:t>Executive Summary</w:t>
      </w:r>
    </w:p>
    <w:p w14:paraId="49D4BFF0" w14:textId="45CCA912" w:rsidR="00FF39B9" w:rsidRPr="008536E6" w:rsidRDefault="00FF39B9" w:rsidP="00F77FA8">
      <w:pPr>
        <w:spacing w:after="240"/>
        <w:rPr>
          <w:szCs w:val="22"/>
        </w:rPr>
      </w:pPr>
      <w:r w:rsidRPr="007A0A77">
        <w:rPr>
          <w:szCs w:val="24"/>
        </w:rPr>
        <w:t xml:space="preserve">The purpose of this document is to </w:t>
      </w:r>
      <w:r w:rsidR="00F77FA8" w:rsidRPr="00F77FA8">
        <w:rPr>
          <w:szCs w:val="22"/>
        </w:rPr>
        <w:t>present some lessons learnt from the past reporting cycle and</w:t>
      </w:r>
      <w:r w:rsidR="00F77FA8">
        <w:rPr>
          <w:szCs w:val="22"/>
        </w:rPr>
        <w:t xml:space="preserve"> </w:t>
      </w:r>
      <w:r w:rsidR="00F77FA8" w:rsidRPr="00F77FA8">
        <w:rPr>
          <w:szCs w:val="22"/>
        </w:rPr>
        <w:t xml:space="preserve">provide some methodological guidance to countries on how to report solar </w:t>
      </w:r>
      <w:r w:rsidR="00F77FA8">
        <w:rPr>
          <w:szCs w:val="22"/>
        </w:rPr>
        <w:t xml:space="preserve">PV </w:t>
      </w:r>
      <w:r w:rsidR="00212F19" w:rsidRPr="00F77FA8">
        <w:rPr>
          <w:szCs w:val="22"/>
        </w:rPr>
        <w:t>capacities</w:t>
      </w:r>
      <w:r w:rsidR="00212F19">
        <w:rPr>
          <w:szCs w:val="22"/>
        </w:rPr>
        <w:t xml:space="preserve"> in </w:t>
      </w:r>
      <w:r w:rsidR="00F77FA8" w:rsidRPr="00F77FA8">
        <w:rPr>
          <w:szCs w:val="22"/>
        </w:rPr>
        <w:t>AC</w:t>
      </w:r>
      <w:r w:rsidR="00F77FA8">
        <w:rPr>
          <w:szCs w:val="22"/>
        </w:rPr>
        <w:t xml:space="preserve"> </w:t>
      </w:r>
      <w:r w:rsidR="00212F19">
        <w:rPr>
          <w:szCs w:val="22"/>
        </w:rPr>
        <w:t>(alternat</w:t>
      </w:r>
      <w:r w:rsidR="00595178">
        <w:rPr>
          <w:szCs w:val="22"/>
        </w:rPr>
        <w:t>ing</w:t>
      </w:r>
      <w:r w:rsidR="00212F19">
        <w:rPr>
          <w:szCs w:val="22"/>
        </w:rPr>
        <w:t xml:space="preserve"> current) </w:t>
      </w:r>
      <w:r w:rsidR="00F77FA8" w:rsidRPr="00F77FA8">
        <w:rPr>
          <w:szCs w:val="22"/>
        </w:rPr>
        <w:t xml:space="preserve">and </w:t>
      </w:r>
      <w:r w:rsidR="00212F19">
        <w:rPr>
          <w:szCs w:val="22"/>
        </w:rPr>
        <w:t xml:space="preserve">in </w:t>
      </w:r>
      <w:r w:rsidR="00F77FA8" w:rsidRPr="00F77FA8">
        <w:rPr>
          <w:szCs w:val="22"/>
        </w:rPr>
        <w:t>DC</w:t>
      </w:r>
      <w:r w:rsidR="00212F19">
        <w:rPr>
          <w:szCs w:val="22"/>
        </w:rPr>
        <w:t xml:space="preserve"> (direct current)</w:t>
      </w:r>
      <w:r w:rsidRPr="008536E6">
        <w:rPr>
          <w:szCs w:val="22"/>
        </w:rPr>
        <w:t>.</w:t>
      </w:r>
    </w:p>
    <w:p w14:paraId="04FC8FC5" w14:textId="6D14E8D1" w:rsidR="0050279C" w:rsidRDefault="007C507F" w:rsidP="00A6332B">
      <w:pPr>
        <w:spacing w:after="240"/>
        <w:rPr>
          <w:szCs w:val="22"/>
        </w:rPr>
      </w:pPr>
      <w:r>
        <w:rPr>
          <w:szCs w:val="22"/>
        </w:rPr>
        <w:t xml:space="preserve">The </w:t>
      </w:r>
      <w:r w:rsidR="00777EFD">
        <w:rPr>
          <w:szCs w:val="22"/>
        </w:rPr>
        <w:t xml:space="preserve">Task Force on Methodology and Future reporting discussed </w:t>
      </w:r>
      <w:r>
        <w:rPr>
          <w:szCs w:val="22"/>
        </w:rPr>
        <w:t>th</w:t>
      </w:r>
      <w:r w:rsidR="009769AC">
        <w:rPr>
          <w:szCs w:val="22"/>
        </w:rPr>
        <w:t>e</w:t>
      </w:r>
      <w:r>
        <w:rPr>
          <w:szCs w:val="22"/>
        </w:rPr>
        <w:t xml:space="preserve"> topic </w:t>
      </w:r>
      <w:r w:rsidR="009769AC">
        <w:rPr>
          <w:szCs w:val="22"/>
        </w:rPr>
        <w:t xml:space="preserve">of </w:t>
      </w:r>
      <w:r w:rsidR="00F77FA8">
        <w:rPr>
          <w:szCs w:val="22"/>
        </w:rPr>
        <w:t xml:space="preserve">AC and DC </w:t>
      </w:r>
      <w:r w:rsidR="00212F19">
        <w:rPr>
          <w:szCs w:val="22"/>
        </w:rPr>
        <w:t xml:space="preserve">categories for solar PV capacities. This discussion followed concerns expressed by users about the increasing divergence between both ways of expressing solar PV capacity and a survey launched by the IEA among countries. </w:t>
      </w:r>
    </w:p>
    <w:p w14:paraId="43F4399A" w14:textId="1AAA3DC8" w:rsidR="00FF39B9" w:rsidRPr="007A0A77" w:rsidRDefault="00FF39B9" w:rsidP="00A6332B">
      <w:pPr>
        <w:spacing w:after="240"/>
        <w:rPr>
          <w:b/>
          <w:i/>
          <w:szCs w:val="28"/>
        </w:rPr>
      </w:pPr>
      <w:r w:rsidRPr="007A0A77">
        <w:rPr>
          <w:b/>
          <w:i/>
          <w:szCs w:val="28"/>
        </w:rPr>
        <w:t>The Members of the Energy Statistics Working Group are invited to:</w:t>
      </w:r>
    </w:p>
    <w:p w14:paraId="0B5297B3" w14:textId="32BC5A9C" w:rsidR="00FF39B9" w:rsidRDefault="00DA4BE0" w:rsidP="00A6332B">
      <w:pPr>
        <w:numPr>
          <w:ilvl w:val="0"/>
          <w:numId w:val="1"/>
        </w:numPr>
        <w:spacing w:after="240"/>
        <w:rPr>
          <w:szCs w:val="22"/>
        </w:rPr>
      </w:pPr>
      <w:r w:rsidRPr="007A0A77">
        <w:rPr>
          <w:szCs w:val="22"/>
        </w:rPr>
        <w:t xml:space="preserve">Take note of </w:t>
      </w:r>
      <w:r w:rsidR="00212F19">
        <w:rPr>
          <w:szCs w:val="22"/>
        </w:rPr>
        <w:t>lessons learnt from the past reporting cycle (the first cycle where countries were asked to report solar PV capacity split by AC and DC</w:t>
      </w:r>
      <w:proofErr w:type="gramStart"/>
      <w:r w:rsidR="00DE26D3">
        <w:rPr>
          <w:szCs w:val="22"/>
        </w:rPr>
        <w:t>)</w:t>
      </w:r>
      <w:r w:rsidR="00212F19">
        <w:rPr>
          <w:szCs w:val="22"/>
        </w:rPr>
        <w:t>;</w:t>
      </w:r>
      <w:proofErr w:type="gramEnd"/>
      <w:r w:rsidR="00C57614">
        <w:rPr>
          <w:szCs w:val="22"/>
        </w:rPr>
        <w:t xml:space="preserve"> </w:t>
      </w:r>
    </w:p>
    <w:p w14:paraId="584A0EDD" w14:textId="5CBFC5F3" w:rsidR="005C7AC2" w:rsidRPr="00F17B07" w:rsidRDefault="005C7AC2" w:rsidP="00A6332B">
      <w:pPr>
        <w:numPr>
          <w:ilvl w:val="0"/>
          <w:numId w:val="1"/>
        </w:numPr>
        <w:spacing w:after="240"/>
        <w:rPr>
          <w:szCs w:val="22"/>
        </w:rPr>
      </w:pPr>
      <w:r w:rsidRPr="00F17B07">
        <w:rPr>
          <w:szCs w:val="22"/>
        </w:rPr>
        <w:t xml:space="preserve">Take note </w:t>
      </w:r>
      <w:r w:rsidR="00212F19">
        <w:rPr>
          <w:szCs w:val="22"/>
        </w:rPr>
        <w:t xml:space="preserve">and apply in the future the methodological guidance presented in this </w:t>
      </w:r>
      <w:proofErr w:type="gramStart"/>
      <w:r w:rsidR="00212F19">
        <w:rPr>
          <w:szCs w:val="22"/>
        </w:rPr>
        <w:t>document</w:t>
      </w:r>
      <w:r w:rsidRPr="00F17B07">
        <w:rPr>
          <w:szCs w:val="22"/>
        </w:rPr>
        <w:t>;</w:t>
      </w:r>
      <w:proofErr w:type="gramEnd"/>
    </w:p>
    <w:p w14:paraId="2C291A1D" w14:textId="3C801B8C" w:rsidR="005C7AC2" w:rsidRPr="00F17B07" w:rsidRDefault="005C7AC2" w:rsidP="00A6332B">
      <w:pPr>
        <w:numPr>
          <w:ilvl w:val="0"/>
          <w:numId w:val="1"/>
        </w:numPr>
        <w:spacing w:after="240"/>
        <w:rPr>
          <w:szCs w:val="22"/>
        </w:rPr>
      </w:pPr>
      <w:r w:rsidRPr="00F17B07">
        <w:rPr>
          <w:szCs w:val="22"/>
        </w:rPr>
        <w:t xml:space="preserve">Provide </w:t>
      </w:r>
      <w:r w:rsidR="00B92B35">
        <w:rPr>
          <w:szCs w:val="22"/>
        </w:rPr>
        <w:t xml:space="preserve">an </w:t>
      </w:r>
      <w:r w:rsidRPr="00F17B07">
        <w:rPr>
          <w:szCs w:val="22"/>
        </w:rPr>
        <w:t xml:space="preserve">opinion, feedback and/or any comment </w:t>
      </w:r>
      <w:r w:rsidR="003000CA">
        <w:rPr>
          <w:szCs w:val="22"/>
        </w:rPr>
        <w:t xml:space="preserve">in the meeting and in writing to </w:t>
      </w:r>
      <w:hyperlink r:id="rId10" w:history="1">
        <w:r w:rsidR="003000CA" w:rsidRPr="001A0248">
          <w:rPr>
            <w:rStyle w:val="Hyperlink"/>
            <w:szCs w:val="22"/>
          </w:rPr>
          <w:t>Fernando.Diaz-Alonso@ec.europa.eu</w:t>
        </w:r>
      </w:hyperlink>
      <w:r w:rsidR="003000CA">
        <w:rPr>
          <w:szCs w:val="22"/>
        </w:rPr>
        <w:t xml:space="preserve"> </w:t>
      </w:r>
      <w:r w:rsidR="00210AD6">
        <w:rPr>
          <w:szCs w:val="22"/>
        </w:rPr>
        <w:t xml:space="preserve">by </w:t>
      </w:r>
      <w:r w:rsidR="00C57614">
        <w:rPr>
          <w:szCs w:val="22"/>
        </w:rPr>
        <w:t>17</w:t>
      </w:r>
      <w:r w:rsidR="003000CA">
        <w:rPr>
          <w:szCs w:val="22"/>
        </w:rPr>
        <w:t xml:space="preserve"> May</w:t>
      </w:r>
      <w:r w:rsidR="00210AD6">
        <w:rPr>
          <w:szCs w:val="22"/>
        </w:rPr>
        <w:t xml:space="preserve"> 202</w:t>
      </w:r>
      <w:r w:rsidR="00C57614">
        <w:rPr>
          <w:szCs w:val="22"/>
        </w:rPr>
        <w:t>4</w:t>
      </w:r>
      <w:r w:rsidRPr="00F17B07">
        <w:rPr>
          <w:szCs w:val="22"/>
        </w:rPr>
        <w:t>.</w:t>
      </w:r>
    </w:p>
    <w:p w14:paraId="4D841397" w14:textId="77777777" w:rsidR="00FF39B9" w:rsidRDefault="00FF39B9" w:rsidP="00FF39B9">
      <w:pPr>
        <w:spacing w:before="0" w:after="200" w:line="276" w:lineRule="auto"/>
        <w:jc w:val="left"/>
      </w:pPr>
      <w:r>
        <w:br w:type="page"/>
      </w:r>
    </w:p>
    <w:p w14:paraId="77B1A4BB" w14:textId="77777777" w:rsidR="005C7AC2" w:rsidRDefault="005C7AC2" w:rsidP="00694A6E">
      <w:pPr>
        <w:pStyle w:val="Heading1"/>
      </w:pPr>
      <w:bookmarkStart w:id="0" w:name="_Toc67410914"/>
      <w:r w:rsidRPr="00CE1330">
        <w:lastRenderedPageBreak/>
        <w:t>Introduction</w:t>
      </w:r>
    </w:p>
    <w:p w14:paraId="107B1925" w14:textId="3E660C3C" w:rsidR="00F6240E" w:rsidRDefault="00F6240E" w:rsidP="00F6240E">
      <w:pPr>
        <w:pStyle w:val="Text1"/>
        <w:ind w:left="0"/>
      </w:pPr>
      <w:r>
        <w:t>As indicated in the document presented to the Task Force on Methodology and future reporting in June 2023, as well as in the latest version of the reporting instructions for the annual questionnaire on renewables and wastes, a solar PV system works by capturing sunlight using photovoltaic cells and converting it into DC (direct current) electricity. The DC electricity is then usually converted into AC (alternat</w:t>
      </w:r>
      <w:r w:rsidR="00595178">
        <w:t>ing</w:t>
      </w:r>
      <w:r>
        <w:t xml:space="preserve"> current) electricity using an inverter, as most electrical devices and systems use AC power. Therefore, there are differences between the solar PV capacity in DC and in AC. The former is the electrical capacity of the installed panel(s) that generate(s) electricity in DC. The latter is the electrical capacity of the AC side of the DC-AC conversion system, </w:t>
      </w:r>
      <w:proofErr w:type="gramStart"/>
      <w:r>
        <w:t>i.e.</w:t>
      </w:r>
      <w:proofErr w:type="gramEnd"/>
      <w:r>
        <w:t xml:space="preserve"> the maximum AC power the inverter(s) can provide.</w:t>
      </w:r>
    </w:p>
    <w:p w14:paraId="1D9661C3" w14:textId="40CB72E6" w:rsidR="00F6240E" w:rsidRDefault="00F6240E" w:rsidP="00F6240E">
      <w:pPr>
        <w:pStyle w:val="Text1"/>
        <w:ind w:left="0"/>
      </w:pPr>
      <w:r w:rsidRPr="00500116">
        <w:rPr>
          <w:noProof/>
          <w:lang w:eastAsia="en-GB"/>
        </w:rPr>
        <w:drawing>
          <wp:inline distT="0" distB="0" distL="0" distR="0" wp14:anchorId="5803BD9A" wp14:editId="1091C0E0">
            <wp:extent cx="5989277" cy="2006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80742" cy="2037244"/>
                    </a:xfrm>
                    <a:prstGeom prst="rect">
                      <a:avLst/>
                    </a:prstGeom>
                  </pic:spPr>
                </pic:pic>
              </a:graphicData>
            </a:graphic>
          </wp:inline>
        </w:drawing>
      </w:r>
    </w:p>
    <w:p w14:paraId="2FC6C656" w14:textId="77777777" w:rsidR="00F6240E" w:rsidRPr="00500116" w:rsidRDefault="00F6240E" w:rsidP="00F6240E">
      <w:pPr>
        <w:rPr>
          <w:lang w:val="en-US"/>
        </w:rPr>
      </w:pPr>
      <w:r w:rsidRPr="00500116">
        <w:rPr>
          <w:lang w:val="en-US"/>
        </w:rPr>
        <w:t xml:space="preserve">In the past, the DC capacity was </w:t>
      </w:r>
      <w:proofErr w:type="gramStart"/>
      <w:r w:rsidRPr="00500116">
        <w:rPr>
          <w:lang w:val="en-US"/>
        </w:rPr>
        <w:t>similar to</w:t>
      </w:r>
      <w:proofErr w:type="gramEnd"/>
      <w:r w:rsidRPr="00500116">
        <w:rPr>
          <w:lang w:val="en-US"/>
        </w:rPr>
        <w:t xml:space="preserve"> the AC. However, due to recent developments in the DC-AC conversion system sizing, these two values may now differ by 20-30%. During the solar system sizing phase, a possible design choice, for a given investment, is to install a DC capacity greater than the inverter AC output rating. The outcome of this approach is shown in the picture below, where the curves represent the AC output power in case AC and DC rating are similar (blue curve) and in case the DC power rating is significantly greater than the AC (green curve). In the latter case, some energy is lost because the inverter cannot work during the peak (“inverter clipping” area) but some energy is gained in the off-peak period because of the greater DC capacity installed.</w:t>
      </w:r>
    </w:p>
    <w:p w14:paraId="77B39F9D" w14:textId="77777777" w:rsidR="00F6240E" w:rsidRPr="00500116" w:rsidRDefault="00F6240E" w:rsidP="00F6240E">
      <w:pPr>
        <w:rPr>
          <w:lang w:val="en-US"/>
        </w:rPr>
      </w:pPr>
      <w:r w:rsidRPr="00500116">
        <w:rPr>
          <w:noProof/>
          <w:lang w:eastAsia="en-GB"/>
        </w:rPr>
        <w:drawing>
          <wp:inline distT="0" distB="0" distL="0" distR="0" wp14:anchorId="40FF4A16" wp14:editId="501B63ED">
            <wp:extent cx="5632450" cy="2905338"/>
            <wp:effectExtent l="0" t="0" r="6350" b="9525"/>
            <wp:docPr id="1" name="Picture 1" descr="cid:image001.png@01D7ED25.59E59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ED25.59E5953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21266" cy="2951151"/>
                    </a:xfrm>
                    <a:prstGeom prst="rect">
                      <a:avLst/>
                    </a:prstGeom>
                    <a:noFill/>
                    <a:ln>
                      <a:noFill/>
                    </a:ln>
                  </pic:spPr>
                </pic:pic>
              </a:graphicData>
            </a:graphic>
          </wp:inline>
        </w:drawing>
      </w:r>
    </w:p>
    <w:p w14:paraId="12EA47A6" w14:textId="77777777" w:rsidR="00F6240E" w:rsidRDefault="00F6240E" w:rsidP="00F6240E">
      <w:pPr>
        <w:pStyle w:val="Text1"/>
        <w:ind w:left="0"/>
      </w:pPr>
    </w:p>
    <w:p w14:paraId="2A0222F4" w14:textId="5012B7EF" w:rsidR="00F6240E" w:rsidRDefault="00F6240E" w:rsidP="00F6240E">
      <w:pPr>
        <w:rPr>
          <w:szCs w:val="24"/>
        </w:rPr>
      </w:pPr>
      <w:r w:rsidRPr="00500116">
        <w:rPr>
          <w:szCs w:val="24"/>
        </w:rPr>
        <w:t>The IEA carried out a survey among reporting countries to determine how they were reporting their solar PV capacity (either based on DC or AC values). Results showed that there was not a clear majority of countries reporting in a consistent way one or the other variable. Some of them were reporting based on AC, some others on DC and some other were not sure.</w:t>
      </w:r>
    </w:p>
    <w:p w14:paraId="24114DE5" w14:textId="2F03A469" w:rsidR="00F6240E" w:rsidRDefault="00F6240E" w:rsidP="00F6240E">
      <w:pPr>
        <w:pStyle w:val="Text1"/>
        <w:ind w:left="0"/>
        <w:rPr>
          <w:szCs w:val="24"/>
        </w:rPr>
      </w:pPr>
      <w:r>
        <w:rPr>
          <w:szCs w:val="24"/>
        </w:rPr>
        <w:t>Based on this outcome, the IEA and Eurostat discussed on the best way forward and both organisations agreed that it was necessary to have all countries reporting on the same basis.</w:t>
      </w:r>
    </w:p>
    <w:p w14:paraId="0A96B626" w14:textId="1476FC60" w:rsidR="00F6240E" w:rsidRDefault="00F6240E" w:rsidP="00F6240E">
      <w:pPr>
        <w:rPr>
          <w:szCs w:val="24"/>
        </w:rPr>
      </w:pPr>
      <w:r>
        <w:rPr>
          <w:szCs w:val="24"/>
        </w:rPr>
        <w:t xml:space="preserve">Ideally, all countries should report based </w:t>
      </w:r>
      <w:r w:rsidR="004D6EF7">
        <w:rPr>
          <w:szCs w:val="24"/>
        </w:rPr>
        <w:t xml:space="preserve">on </w:t>
      </w:r>
      <w:r>
        <w:rPr>
          <w:szCs w:val="24"/>
        </w:rPr>
        <w:t xml:space="preserve">both values (AC and DC), as this would help analysts to assess the functioning modalities and efficiency of the installations. </w:t>
      </w:r>
    </w:p>
    <w:p w14:paraId="0A59A70F" w14:textId="78F9C5E2" w:rsidR="00F6240E" w:rsidRPr="00500116" w:rsidRDefault="00F6240E" w:rsidP="00F6240E">
      <w:pPr>
        <w:rPr>
          <w:rFonts w:asciiTheme="majorHAnsi" w:eastAsiaTheme="majorEastAsia" w:hAnsiTheme="majorHAnsi" w:cstheme="majorBidi"/>
          <w:color w:val="365F91" w:themeColor="accent1" w:themeShade="BF"/>
          <w:sz w:val="26"/>
          <w:szCs w:val="26"/>
        </w:rPr>
      </w:pPr>
      <w:r>
        <w:rPr>
          <w:szCs w:val="24"/>
        </w:rPr>
        <w:t>The Task Force agreed that, as a first step, countries should start reporting, at least in one of the two categories, but clearly identifying whether it was AC or DC values. At a later stage, countries should report based on both AC and DC values.</w:t>
      </w:r>
    </w:p>
    <w:p w14:paraId="54DA57B9" w14:textId="3E9CAD64" w:rsidR="00C57614" w:rsidRDefault="004B4C52" w:rsidP="00694A6E">
      <w:pPr>
        <w:pStyle w:val="Heading1"/>
      </w:pPr>
      <w:r>
        <w:t>Lessons learnt from the 2022 annual data cycle</w:t>
      </w:r>
    </w:p>
    <w:p w14:paraId="3ACC50FC" w14:textId="5235FC9D" w:rsidR="004B4C52" w:rsidRDefault="004B4C52" w:rsidP="004B4C52">
      <w:pPr>
        <w:pStyle w:val="Text1"/>
        <w:ind w:left="0"/>
      </w:pPr>
      <w:r>
        <w:t>The table in Annex I shows how countries reported solar PV capacities in AC and DC during the 2022 annual data cycle. For clarity reasons, the subcategories rooftop and off-grid have been omitted from the table.</w:t>
      </w:r>
    </w:p>
    <w:p w14:paraId="1AC94379" w14:textId="4D945599" w:rsidR="00150973" w:rsidRDefault="00150973" w:rsidP="004B4C52">
      <w:pPr>
        <w:pStyle w:val="Text1"/>
        <w:ind w:left="0"/>
      </w:pPr>
      <w:r>
        <w:t xml:space="preserve">As observed in the table, most countries reported only in one of the categories, either AC or DC. Only few countries reported in both categories, with Italy and Ireland being the best-practice examples, as they reported real values in both categories. Two other countries (Greece and Norway) reported the same value in both categories. This option, although not as good as reporting real values in both categories, is preferred as a transitory solution to reporting in only one category. </w:t>
      </w:r>
    </w:p>
    <w:p w14:paraId="2693CFF5" w14:textId="77777777" w:rsidR="00860B04" w:rsidRDefault="00860B04" w:rsidP="004B4C52">
      <w:pPr>
        <w:pStyle w:val="Text1"/>
        <w:ind w:left="0"/>
      </w:pPr>
    </w:p>
    <w:p w14:paraId="0B498AC0" w14:textId="628F17E0" w:rsidR="00150973" w:rsidRDefault="00150973" w:rsidP="004B4C52">
      <w:pPr>
        <w:pStyle w:val="Text1"/>
        <w:ind w:left="0"/>
      </w:pPr>
      <w:r>
        <w:t>We can then conclude that the preferred practice is</w:t>
      </w:r>
      <w:r w:rsidR="001F7138">
        <w:t xml:space="preserve"> the following</w:t>
      </w:r>
      <w:r>
        <w:t>, in decreasing order:</w:t>
      </w:r>
    </w:p>
    <w:p w14:paraId="1F7B61FD" w14:textId="06DDAB31" w:rsidR="00150973" w:rsidRDefault="00150973" w:rsidP="00150973">
      <w:pPr>
        <w:pStyle w:val="Text1"/>
        <w:numPr>
          <w:ilvl w:val="0"/>
          <w:numId w:val="18"/>
        </w:numPr>
      </w:pPr>
      <w:r>
        <w:t xml:space="preserve">Report real values in both AC and DC capacities (such as </w:t>
      </w:r>
      <w:r w:rsidR="00A85C76">
        <w:t xml:space="preserve">the best-practice cases of </w:t>
      </w:r>
      <w:r>
        <w:t xml:space="preserve">Ireland and Italy). This usually leads to slightly different </w:t>
      </w:r>
      <w:r w:rsidR="008A340C">
        <w:t xml:space="preserve">AC and DC </w:t>
      </w:r>
      <w:r>
        <w:t>values</w:t>
      </w:r>
      <w:r w:rsidR="00441600">
        <w:t xml:space="preserve">, with </w:t>
      </w:r>
      <w:r w:rsidR="00860B04">
        <w:t>A</w:t>
      </w:r>
      <w:r w:rsidR="00441600">
        <w:t xml:space="preserve">C being smaller than </w:t>
      </w:r>
      <w:r w:rsidR="00860B04">
        <w:t>D</w:t>
      </w:r>
      <w:r w:rsidR="00441600">
        <w:t>C (refer to the methodological advice below for clarification)</w:t>
      </w:r>
      <w:r>
        <w:t>.</w:t>
      </w:r>
    </w:p>
    <w:p w14:paraId="3E321ADD" w14:textId="71D83A50" w:rsidR="00150973" w:rsidRDefault="00150973" w:rsidP="00150973">
      <w:pPr>
        <w:pStyle w:val="Text1"/>
        <w:numPr>
          <w:ilvl w:val="0"/>
          <w:numId w:val="18"/>
        </w:numPr>
      </w:pPr>
      <w:r>
        <w:t xml:space="preserve">Report one real value, either AC or DC, and </w:t>
      </w:r>
      <w:r w:rsidR="001F7138">
        <w:t xml:space="preserve">estimate the remaining one using the conversion factors given in the methodological advice below. If this does not seem suitable for your country, a back-up possibility is to </w:t>
      </w:r>
      <w:r>
        <w:t xml:space="preserve">make the </w:t>
      </w:r>
      <w:r w:rsidR="001F7138">
        <w:t>missing category</w:t>
      </w:r>
      <w:r>
        <w:t xml:space="preserve"> equal to the </w:t>
      </w:r>
      <w:r w:rsidR="001F7138">
        <w:t>available one</w:t>
      </w:r>
      <w:r>
        <w:t xml:space="preserve"> (such as Norway or Greece). This is acceptable during a transitory period </w:t>
      </w:r>
      <w:r w:rsidR="001F7138">
        <w:t xml:space="preserve">(as the ratio between AC and DC is usually close to 1) </w:t>
      </w:r>
      <w:r>
        <w:t>to avoid leaving blank cells that could be interpreted as zeros by non-expert data users.</w:t>
      </w:r>
      <w:r w:rsidR="008260C8">
        <w:t xml:space="preserve"> </w:t>
      </w:r>
      <w:r w:rsidR="00595178" w:rsidRPr="00595178">
        <w:t xml:space="preserve">In either of these cases, please note which value is real and which is estimated in the Remarks tab. This will aid data interpretation and </w:t>
      </w:r>
      <w:r w:rsidR="0081655F" w:rsidRPr="00595178">
        <w:t>validation and</w:t>
      </w:r>
      <w:r w:rsidR="00595178" w:rsidRPr="00595178">
        <w:t xml:space="preserve"> allow </w:t>
      </w:r>
      <w:r w:rsidR="009750D7">
        <w:t>analysts to estimate</w:t>
      </w:r>
      <w:r w:rsidR="00595178" w:rsidRPr="00595178">
        <w:t xml:space="preserve"> the missing data</w:t>
      </w:r>
      <w:r w:rsidR="009750D7">
        <w:t>,</w:t>
      </w:r>
      <w:r w:rsidR="00595178" w:rsidRPr="00595178">
        <w:t xml:space="preserve"> if necessary.</w:t>
      </w:r>
    </w:p>
    <w:p w14:paraId="45A35DEC" w14:textId="3FEDB406" w:rsidR="00150973" w:rsidRDefault="00150973" w:rsidP="00150973">
      <w:pPr>
        <w:pStyle w:val="Text1"/>
        <w:numPr>
          <w:ilvl w:val="0"/>
          <w:numId w:val="18"/>
        </w:numPr>
      </w:pPr>
      <w:r>
        <w:t xml:space="preserve">Report only one category and leave the other as zero (rest of countries). This practice was accepted during the first reporting cycle, </w:t>
      </w:r>
      <w:r w:rsidR="001F7138">
        <w:t xml:space="preserve">given the change in </w:t>
      </w:r>
      <w:r w:rsidR="00B720DA">
        <w:t xml:space="preserve">the </w:t>
      </w:r>
      <w:r w:rsidR="001F7138">
        <w:t>reporting practice. However, this is discouraged for the future as it gives the impression to users that one of the two categories is a real zero.</w:t>
      </w:r>
      <w:r>
        <w:t xml:space="preserve">  </w:t>
      </w:r>
    </w:p>
    <w:p w14:paraId="2EFC8ED8" w14:textId="77777777" w:rsidR="00860B04" w:rsidRDefault="00860B04" w:rsidP="004B4C52">
      <w:pPr>
        <w:pStyle w:val="Text1"/>
        <w:ind w:left="0"/>
      </w:pPr>
    </w:p>
    <w:p w14:paraId="71495042" w14:textId="0F9DACD8" w:rsidR="004B4C52" w:rsidRDefault="00860B04" w:rsidP="004B4C52">
      <w:pPr>
        <w:pStyle w:val="Text1"/>
        <w:ind w:left="0"/>
      </w:pPr>
      <w:r>
        <w:t xml:space="preserve">When reporting in the 2023 annual data cycle, Eurostat and the IEA would appreciate if countries could revise data for 2022 (or earlier if data are available) providing both AC and DC values. </w:t>
      </w:r>
    </w:p>
    <w:p w14:paraId="6EC97108" w14:textId="54BDED1B" w:rsidR="003E1966" w:rsidRPr="00694A6E" w:rsidRDefault="001F7138" w:rsidP="00694A6E">
      <w:pPr>
        <w:pStyle w:val="Heading1"/>
      </w:pPr>
      <w:r>
        <w:lastRenderedPageBreak/>
        <w:t>Some m</w:t>
      </w:r>
      <w:r w:rsidR="00441600">
        <w:t>ethodological advice for next cycle</w:t>
      </w:r>
      <w:bookmarkEnd w:id="0"/>
    </w:p>
    <w:p w14:paraId="5FB3CA57" w14:textId="4ABC340D" w:rsidR="001F7138" w:rsidRDefault="00860B04" w:rsidP="001F7138">
      <w:pPr>
        <w:rPr>
          <w:lang w:val="en-US"/>
        </w:rPr>
      </w:pPr>
      <w:r>
        <w:t xml:space="preserve">Eurostat and the IEA </w:t>
      </w:r>
      <w:r w:rsidR="001F7138" w:rsidRPr="00262C6E">
        <w:rPr>
          <w:lang w:val="en-US"/>
        </w:rPr>
        <w:t>recommend</w:t>
      </w:r>
      <w:r>
        <w:rPr>
          <w:lang w:val="en-US"/>
        </w:rPr>
        <w:t xml:space="preserve"> countries</w:t>
      </w:r>
      <w:r w:rsidR="001F7138" w:rsidRPr="00262C6E">
        <w:rPr>
          <w:lang w:val="en-US"/>
        </w:rPr>
        <w:t xml:space="preserve"> to investigate </w:t>
      </w:r>
      <w:r w:rsidR="001F7138">
        <w:rPr>
          <w:lang w:val="en-US"/>
        </w:rPr>
        <w:t>the AC and DC capacity f</w:t>
      </w:r>
      <w:r w:rsidR="001F7138" w:rsidRPr="00262C6E">
        <w:rPr>
          <w:lang w:val="en-US"/>
        </w:rPr>
        <w:t xml:space="preserve">igures with your data provider(s) and/or estimate an average DC/AC conversion ratio for each Solar PV category. In case this is not possible, </w:t>
      </w:r>
      <w:r w:rsidR="001F7138">
        <w:rPr>
          <w:lang w:val="en-US"/>
        </w:rPr>
        <w:t>we encourage you to report both</w:t>
      </w:r>
      <w:r w:rsidR="001F7138" w:rsidRPr="00262C6E">
        <w:rPr>
          <w:lang w:val="en-US"/>
        </w:rPr>
        <w:t xml:space="preserve"> DC or only AC capacity based on the kind of data at your disposal for each category</w:t>
      </w:r>
      <w:r w:rsidR="001F7138">
        <w:rPr>
          <w:lang w:val="en-US"/>
        </w:rPr>
        <w:t xml:space="preserve"> and, if none,</w:t>
      </w:r>
      <w:r>
        <w:rPr>
          <w:lang w:val="en-US"/>
        </w:rPr>
        <w:t xml:space="preserve"> please estimate using the conversion factors below or, in case this is not suitable for your country,</w:t>
      </w:r>
      <w:r w:rsidR="001F7138">
        <w:rPr>
          <w:lang w:val="en-US"/>
        </w:rPr>
        <w:t xml:space="preserve"> make one equal to the other</w:t>
      </w:r>
      <w:r>
        <w:rPr>
          <w:lang w:val="en-US"/>
        </w:rPr>
        <w:t xml:space="preserve"> during a transitory period</w:t>
      </w:r>
      <w:r w:rsidR="001F7138" w:rsidRPr="00262C6E">
        <w:rPr>
          <w:lang w:val="en-US"/>
        </w:rPr>
        <w:t xml:space="preserve">. </w:t>
      </w:r>
    </w:p>
    <w:p w14:paraId="0F664AFE" w14:textId="7BB453DA" w:rsidR="001F7138" w:rsidRPr="00B4675A" w:rsidRDefault="001F7138" w:rsidP="001F7138">
      <w:pPr>
        <w:rPr>
          <w:lang w:val="en-US"/>
        </w:rPr>
      </w:pPr>
      <w:r w:rsidRPr="00B4675A">
        <w:rPr>
          <w:lang w:val="en-US"/>
        </w:rPr>
        <w:t xml:space="preserve">As regards system size ratio (DC/AC), for residential rooftop systems it is 1 to 1, while for larger </w:t>
      </w:r>
      <w:r w:rsidRPr="0008508A">
        <w:rPr>
          <w:lang w:val="en-US"/>
        </w:rPr>
        <w:t xml:space="preserve">commercial and industrial </w:t>
      </w:r>
      <w:r>
        <w:rPr>
          <w:lang w:val="en-US"/>
        </w:rPr>
        <w:t>installations</w:t>
      </w:r>
      <w:r w:rsidRPr="00B4675A">
        <w:rPr>
          <w:lang w:val="en-US"/>
        </w:rPr>
        <w:t xml:space="preserve"> it is around 1.0-1.1, and for utility-scale it is 1.2-1.3. However, in the latter case, sometimes it can go as high as 1.5.</w:t>
      </w:r>
      <w:r w:rsidR="00860B04">
        <w:rPr>
          <w:lang w:val="en-US"/>
        </w:rPr>
        <w:t xml:space="preserve"> </w:t>
      </w:r>
      <w:r w:rsidR="00860B04">
        <w:t>These usual ranges must be used carefully as they are installation-specific and influenced by country-specific policies and practices. It is always recommended to investigate these figures with your data providers.</w:t>
      </w:r>
    </w:p>
    <w:p w14:paraId="038DA10B" w14:textId="77777777" w:rsidR="001F7138" w:rsidRPr="00E10C72" w:rsidRDefault="001F7138" w:rsidP="001F7138">
      <w:pPr>
        <w:pStyle w:val="Text1"/>
        <w:ind w:left="0"/>
      </w:pPr>
      <w:r>
        <w:t>Should the capacity of the inverter (AC capacity) exceed that of the solar panels (DC capacity), report the DC value as representative for both capacities. This is because the DC value indicates the maximum AC power the system can produce in these scenarios. Such cases are notably observed in smaller-scale systems.</w:t>
      </w:r>
    </w:p>
    <w:p w14:paraId="32D1FD43" w14:textId="588113F5" w:rsidR="00441600" w:rsidRDefault="00860B04" w:rsidP="003E1966">
      <w:pPr>
        <w:rPr>
          <w:szCs w:val="24"/>
        </w:rPr>
      </w:pPr>
      <w:r>
        <w:t xml:space="preserve">In some (very limited) cases, such as in remote areas with limited access to the electrical grid, it may be more practical to use direct current without converting it to AC. This is known as a DC-only system. In these systems, the DC electricity generated by the photovoltaic cells is directly used to power DC devices. Since the amount of capacity of these systems is generally small, a DC-only category has not been deemed necessary. In this case, report only the DC capacity and specify in the remarks the amount of capacity of this kind. In addition, some large-scale PV plants, particularly those that are connected to the electrical grid, may use both DC and AC systems in different parts of the plant. For example, the photovoltaic cells may generate DC electricity, which is then converted to AC electricity for distribution on the grid, but some portions of the plant may use DC power directly. In this case, report the total electricity generated, DC and AC, under electricity generation and the AC and DC capacities as usual. </w:t>
      </w:r>
      <w:r w:rsidR="00595178">
        <w:t xml:space="preserve">Clarify </w:t>
      </w:r>
      <w:r>
        <w:t>the amount of DC-only component in the remarks sheet as for the previous case.</w:t>
      </w:r>
    </w:p>
    <w:p w14:paraId="07FC855F" w14:textId="3F9699B4" w:rsidR="00441600" w:rsidRDefault="00860B04" w:rsidP="003E1966">
      <w:pPr>
        <w:rPr>
          <w:szCs w:val="24"/>
        </w:rPr>
      </w:pPr>
      <w:r>
        <w:rPr>
          <w:szCs w:val="24"/>
        </w:rPr>
        <w:t xml:space="preserve">When it comes to electricity generation, </w:t>
      </w:r>
      <w:r>
        <w:t xml:space="preserve">report the electricity generation after the inverter. In case some installations have no conversion systems (such as those indicated above), </w:t>
      </w:r>
      <w:proofErr w:type="gramStart"/>
      <w:r>
        <w:t>i.e.</w:t>
      </w:r>
      <w:proofErr w:type="gramEnd"/>
      <w:r>
        <w:t xml:space="preserve"> electricity is used directly in DC (DC-only systems), e.g. small-scale off-grid systems, report the electricity generated in DC.</w:t>
      </w:r>
    </w:p>
    <w:p w14:paraId="635AEB07" w14:textId="77777777" w:rsidR="00441600" w:rsidRDefault="00441600" w:rsidP="003E1966">
      <w:pPr>
        <w:rPr>
          <w:szCs w:val="24"/>
        </w:rPr>
      </w:pPr>
    </w:p>
    <w:p w14:paraId="113FEE8D" w14:textId="4EF5123F" w:rsidR="00B17ABB" w:rsidRPr="00694A6E" w:rsidRDefault="00B17ABB" w:rsidP="00B17ABB">
      <w:pPr>
        <w:pStyle w:val="Heading1"/>
      </w:pPr>
      <w:r>
        <w:t>Next steps</w:t>
      </w:r>
    </w:p>
    <w:p w14:paraId="1AF6A09E" w14:textId="1D2025BF" w:rsidR="00B17ABB" w:rsidRDefault="00B17ABB" w:rsidP="003E1966">
      <w:pPr>
        <w:rPr>
          <w:szCs w:val="24"/>
        </w:rPr>
      </w:pPr>
      <w:r>
        <w:rPr>
          <w:szCs w:val="24"/>
        </w:rPr>
        <w:t xml:space="preserve">Eurostat and the IEA will continue to monitor the quality of the solar PV capacities and encourage countries to provide more complete and more accurate data, both in AC and DC. </w:t>
      </w:r>
      <w:bookmarkStart w:id="1" w:name="_Hlk161135429"/>
      <w:r>
        <w:rPr>
          <w:szCs w:val="24"/>
        </w:rPr>
        <w:t xml:space="preserve">During the next </w:t>
      </w:r>
      <w:r w:rsidR="00884511">
        <w:rPr>
          <w:szCs w:val="24"/>
        </w:rPr>
        <w:t xml:space="preserve">annual data </w:t>
      </w:r>
      <w:r>
        <w:rPr>
          <w:szCs w:val="24"/>
        </w:rPr>
        <w:t>cycle</w:t>
      </w:r>
      <w:r w:rsidR="00884511">
        <w:rPr>
          <w:szCs w:val="24"/>
        </w:rPr>
        <w:t xml:space="preserve"> (for reference year 2023)</w:t>
      </w:r>
      <w:r>
        <w:rPr>
          <w:szCs w:val="24"/>
        </w:rPr>
        <w:t>, more emphasis will be put during the validation to encourage countries to provide figures in both categories.</w:t>
      </w:r>
      <w:bookmarkEnd w:id="1"/>
    </w:p>
    <w:p w14:paraId="01FAE56B" w14:textId="77777777" w:rsidR="00B17ABB" w:rsidRDefault="00B17ABB" w:rsidP="003E1966">
      <w:pPr>
        <w:rPr>
          <w:szCs w:val="24"/>
        </w:rPr>
      </w:pPr>
    </w:p>
    <w:p w14:paraId="76A892EB" w14:textId="77777777" w:rsidR="00093F1C" w:rsidRDefault="00093F1C" w:rsidP="003E1966">
      <w:pPr>
        <w:spacing w:before="0" w:after="0"/>
        <w:jc w:val="left"/>
        <w:sectPr w:rsidR="00093F1C" w:rsidSect="004A042E">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1418" w:left="1134" w:header="709" w:footer="709" w:gutter="0"/>
          <w:cols w:space="708"/>
          <w:docGrid w:linePitch="360"/>
        </w:sectPr>
      </w:pPr>
    </w:p>
    <w:p w14:paraId="22882970" w14:textId="35EF34F4" w:rsidR="000F0A34" w:rsidRPr="00093F1C" w:rsidRDefault="000F0A34" w:rsidP="00093F1C">
      <w:pPr>
        <w:pStyle w:val="Heading1"/>
        <w:numPr>
          <w:ilvl w:val="0"/>
          <w:numId w:val="0"/>
        </w:numPr>
        <w:ind w:left="432"/>
        <w:rPr>
          <w:b w:val="0"/>
          <w:bCs/>
        </w:rPr>
      </w:pPr>
      <w:r w:rsidRPr="000F0A34">
        <w:lastRenderedPageBreak/>
        <w:t>Annex I. Results on solar PV electrical capacities AC and DC reported by countries for 2022, MW</w:t>
      </w:r>
    </w:p>
    <w:tbl>
      <w:tblPr>
        <w:tblW w:w="10023" w:type="dxa"/>
        <w:tblInd w:w="108" w:type="dxa"/>
        <w:tblLook w:val="04A0" w:firstRow="1" w:lastRow="0" w:firstColumn="1" w:lastColumn="0" w:noHBand="0" w:noVBand="1"/>
      </w:tblPr>
      <w:tblGrid>
        <w:gridCol w:w="1307"/>
        <w:gridCol w:w="1439"/>
        <w:gridCol w:w="1396"/>
        <w:gridCol w:w="10"/>
        <w:gridCol w:w="1449"/>
        <w:gridCol w:w="1376"/>
        <w:gridCol w:w="1664"/>
        <w:gridCol w:w="1413"/>
      </w:tblGrid>
      <w:tr w:rsidR="00093F1C" w:rsidRPr="000F0A34" w14:paraId="5E9EDA39" w14:textId="77777777" w:rsidTr="00093F1C">
        <w:trPr>
          <w:cantSplit/>
          <w:trHeight w:val="228"/>
          <w:tblHeader/>
        </w:trPr>
        <w:tc>
          <w:tcPr>
            <w:tcW w:w="1276" w:type="dxa"/>
            <w:tcBorders>
              <w:left w:val="nil"/>
              <w:right w:val="single" w:sz="4" w:space="0" w:color="auto"/>
            </w:tcBorders>
            <w:shd w:val="clear" w:color="auto" w:fill="auto"/>
            <w:noWrap/>
            <w:vAlign w:val="center"/>
            <w:hideMark/>
          </w:tcPr>
          <w:p w14:paraId="5F40F09B"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 </w:t>
            </w:r>
          </w:p>
        </w:tc>
        <w:tc>
          <w:tcPr>
            <w:tcW w:w="2835" w:type="dxa"/>
            <w:gridSpan w:val="2"/>
            <w:tcBorders>
              <w:top w:val="single" w:sz="8" w:space="0" w:color="auto"/>
              <w:left w:val="nil"/>
              <w:bottom w:val="single" w:sz="4" w:space="0" w:color="auto"/>
              <w:right w:val="single" w:sz="4" w:space="0" w:color="auto"/>
            </w:tcBorders>
            <w:shd w:val="clear" w:color="000000" w:fill="66FFFF"/>
            <w:noWrap/>
            <w:vAlign w:val="center"/>
            <w:hideMark/>
          </w:tcPr>
          <w:p w14:paraId="1F774A3E" w14:textId="77777777" w:rsidR="00093F1C" w:rsidRPr="000F0A34" w:rsidRDefault="00093F1C" w:rsidP="000F0A34">
            <w:pPr>
              <w:spacing w:before="0" w:after="0"/>
              <w:jc w:val="center"/>
              <w:rPr>
                <w:rFonts w:ascii="Arial" w:hAnsi="Arial" w:cs="Arial"/>
                <w:b/>
                <w:bCs/>
                <w:sz w:val="18"/>
                <w:szCs w:val="18"/>
                <w:lang w:eastAsia="en-GB"/>
              </w:rPr>
            </w:pPr>
            <w:r w:rsidRPr="000F0A34">
              <w:rPr>
                <w:rFonts w:ascii="Arial" w:hAnsi="Arial" w:cs="Arial"/>
                <w:b/>
                <w:bCs/>
                <w:sz w:val="18"/>
                <w:szCs w:val="18"/>
                <w:lang w:eastAsia="en-GB"/>
              </w:rPr>
              <w:t>Solar photovoltaic (&lt; 30 kW)</w:t>
            </w:r>
          </w:p>
        </w:tc>
        <w:tc>
          <w:tcPr>
            <w:tcW w:w="2835" w:type="dxa"/>
            <w:gridSpan w:val="3"/>
            <w:tcBorders>
              <w:top w:val="single" w:sz="8" w:space="0" w:color="auto"/>
              <w:left w:val="nil"/>
              <w:bottom w:val="single" w:sz="4" w:space="0" w:color="auto"/>
              <w:right w:val="single" w:sz="4" w:space="0" w:color="auto"/>
            </w:tcBorders>
            <w:shd w:val="clear" w:color="000000" w:fill="66FFFF"/>
            <w:noWrap/>
            <w:vAlign w:val="center"/>
            <w:hideMark/>
          </w:tcPr>
          <w:p w14:paraId="3E67EA0A" w14:textId="3EF2E84A" w:rsidR="00093F1C" w:rsidRPr="000F0A34" w:rsidRDefault="00093F1C" w:rsidP="000F0A34">
            <w:pPr>
              <w:spacing w:before="0" w:after="0"/>
              <w:jc w:val="center"/>
              <w:rPr>
                <w:rFonts w:ascii="Arial" w:hAnsi="Arial" w:cs="Arial"/>
                <w:b/>
                <w:bCs/>
                <w:sz w:val="18"/>
                <w:szCs w:val="18"/>
                <w:lang w:eastAsia="en-GB"/>
              </w:rPr>
            </w:pPr>
            <w:r w:rsidRPr="000F0A34">
              <w:rPr>
                <w:rFonts w:ascii="Arial" w:hAnsi="Arial" w:cs="Arial"/>
                <w:b/>
                <w:bCs/>
                <w:sz w:val="18"/>
                <w:szCs w:val="18"/>
                <w:lang w:eastAsia="en-GB"/>
              </w:rPr>
              <w:t xml:space="preserve">Solar photovoltaic </w:t>
            </w:r>
            <w:r>
              <w:rPr>
                <w:rFonts w:ascii="Arial" w:hAnsi="Arial" w:cs="Arial"/>
                <w:b/>
                <w:bCs/>
                <w:sz w:val="18"/>
                <w:szCs w:val="18"/>
                <w:lang w:eastAsia="en-GB"/>
              </w:rPr>
              <w:t xml:space="preserve">                </w:t>
            </w:r>
            <w:proofErr w:type="gramStart"/>
            <w:r>
              <w:rPr>
                <w:rFonts w:ascii="Arial" w:hAnsi="Arial" w:cs="Arial"/>
                <w:b/>
                <w:bCs/>
                <w:sz w:val="18"/>
                <w:szCs w:val="18"/>
                <w:lang w:eastAsia="en-GB"/>
              </w:rPr>
              <w:t xml:space="preserve">   </w:t>
            </w:r>
            <w:r w:rsidRPr="000F0A34">
              <w:rPr>
                <w:rFonts w:ascii="Arial" w:hAnsi="Arial" w:cs="Arial"/>
                <w:b/>
                <w:bCs/>
                <w:sz w:val="18"/>
                <w:szCs w:val="18"/>
                <w:lang w:eastAsia="en-GB"/>
              </w:rPr>
              <w:t>(</w:t>
            </w:r>
            <w:proofErr w:type="gramEnd"/>
            <w:r w:rsidRPr="000F0A34">
              <w:rPr>
                <w:rFonts w:ascii="Arial" w:hAnsi="Arial" w:cs="Arial"/>
                <w:b/>
                <w:bCs/>
                <w:sz w:val="18"/>
                <w:szCs w:val="18"/>
                <w:lang w:eastAsia="en-GB"/>
              </w:rPr>
              <w:t>30 kW - 1000 kW)</w:t>
            </w:r>
          </w:p>
        </w:tc>
        <w:tc>
          <w:tcPr>
            <w:tcW w:w="3077" w:type="dxa"/>
            <w:gridSpan w:val="2"/>
            <w:tcBorders>
              <w:top w:val="single" w:sz="8" w:space="0" w:color="auto"/>
              <w:left w:val="nil"/>
              <w:bottom w:val="single" w:sz="4" w:space="0" w:color="auto"/>
              <w:right w:val="single" w:sz="8" w:space="0" w:color="000000"/>
            </w:tcBorders>
            <w:shd w:val="clear" w:color="000000" w:fill="66FFFF"/>
            <w:noWrap/>
            <w:vAlign w:val="center"/>
            <w:hideMark/>
          </w:tcPr>
          <w:p w14:paraId="338A6058" w14:textId="77777777" w:rsidR="00093F1C" w:rsidRPr="000F0A34" w:rsidRDefault="00093F1C" w:rsidP="000F0A34">
            <w:pPr>
              <w:spacing w:before="0" w:after="0"/>
              <w:jc w:val="center"/>
              <w:rPr>
                <w:rFonts w:ascii="Arial" w:hAnsi="Arial" w:cs="Arial"/>
                <w:b/>
                <w:bCs/>
                <w:sz w:val="18"/>
                <w:szCs w:val="18"/>
                <w:lang w:eastAsia="en-GB"/>
              </w:rPr>
            </w:pPr>
            <w:r w:rsidRPr="000F0A34">
              <w:rPr>
                <w:rFonts w:ascii="Arial" w:hAnsi="Arial" w:cs="Arial"/>
                <w:b/>
                <w:bCs/>
                <w:sz w:val="18"/>
                <w:szCs w:val="18"/>
                <w:lang w:eastAsia="en-GB"/>
              </w:rPr>
              <w:t>Solar photovoltaic (1+ MW)</w:t>
            </w:r>
          </w:p>
        </w:tc>
      </w:tr>
      <w:tr w:rsidR="00093F1C" w:rsidRPr="000F0A34" w14:paraId="5FBEDF21" w14:textId="77777777" w:rsidTr="00093F1C">
        <w:trPr>
          <w:cantSplit/>
          <w:trHeight w:val="190"/>
          <w:tblHeader/>
        </w:trPr>
        <w:tc>
          <w:tcPr>
            <w:tcW w:w="1276" w:type="dxa"/>
            <w:tcBorders>
              <w:top w:val="nil"/>
              <w:left w:val="nil"/>
              <w:bottom w:val="single" w:sz="8" w:space="0" w:color="auto"/>
              <w:right w:val="single" w:sz="4" w:space="0" w:color="auto"/>
            </w:tcBorders>
            <w:shd w:val="clear" w:color="auto" w:fill="auto"/>
            <w:noWrap/>
            <w:vAlign w:val="center"/>
            <w:hideMark/>
          </w:tcPr>
          <w:p w14:paraId="0F2696C6"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 </w:t>
            </w:r>
          </w:p>
        </w:tc>
        <w:tc>
          <w:tcPr>
            <w:tcW w:w="1439" w:type="dxa"/>
            <w:tcBorders>
              <w:top w:val="nil"/>
              <w:left w:val="nil"/>
              <w:bottom w:val="single" w:sz="4" w:space="0" w:color="auto"/>
              <w:right w:val="single" w:sz="4" w:space="0" w:color="auto"/>
            </w:tcBorders>
            <w:shd w:val="clear" w:color="000000" w:fill="66FFFF"/>
            <w:noWrap/>
            <w:vAlign w:val="center"/>
            <w:hideMark/>
          </w:tcPr>
          <w:p w14:paraId="76D47CF1"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Electrical capacity - AC</w:t>
            </w:r>
          </w:p>
        </w:tc>
        <w:tc>
          <w:tcPr>
            <w:tcW w:w="1406" w:type="dxa"/>
            <w:gridSpan w:val="2"/>
            <w:tcBorders>
              <w:top w:val="nil"/>
              <w:left w:val="nil"/>
              <w:bottom w:val="single" w:sz="4" w:space="0" w:color="auto"/>
              <w:right w:val="single" w:sz="4" w:space="0" w:color="auto"/>
            </w:tcBorders>
            <w:shd w:val="clear" w:color="000000" w:fill="66FFFF"/>
            <w:noWrap/>
            <w:vAlign w:val="center"/>
            <w:hideMark/>
          </w:tcPr>
          <w:p w14:paraId="50CA111A"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Electrical capacity - DC</w:t>
            </w:r>
          </w:p>
        </w:tc>
        <w:tc>
          <w:tcPr>
            <w:tcW w:w="1449" w:type="dxa"/>
            <w:tcBorders>
              <w:top w:val="nil"/>
              <w:left w:val="nil"/>
              <w:bottom w:val="single" w:sz="4" w:space="0" w:color="auto"/>
              <w:right w:val="single" w:sz="4" w:space="0" w:color="auto"/>
            </w:tcBorders>
            <w:shd w:val="clear" w:color="000000" w:fill="66FFFF"/>
            <w:noWrap/>
            <w:vAlign w:val="center"/>
            <w:hideMark/>
          </w:tcPr>
          <w:p w14:paraId="72FEED7B"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Electrical capacity - AC</w:t>
            </w:r>
          </w:p>
        </w:tc>
        <w:tc>
          <w:tcPr>
            <w:tcW w:w="1376" w:type="dxa"/>
            <w:tcBorders>
              <w:top w:val="nil"/>
              <w:left w:val="nil"/>
              <w:bottom w:val="single" w:sz="4" w:space="0" w:color="auto"/>
              <w:right w:val="single" w:sz="4" w:space="0" w:color="auto"/>
            </w:tcBorders>
            <w:shd w:val="clear" w:color="000000" w:fill="66FFFF"/>
            <w:noWrap/>
            <w:vAlign w:val="center"/>
            <w:hideMark/>
          </w:tcPr>
          <w:p w14:paraId="38E97C1F"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Electrical capacity - DC</w:t>
            </w:r>
          </w:p>
        </w:tc>
        <w:tc>
          <w:tcPr>
            <w:tcW w:w="1664" w:type="dxa"/>
            <w:tcBorders>
              <w:top w:val="nil"/>
              <w:left w:val="nil"/>
              <w:bottom w:val="single" w:sz="4" w:space="0" w:color="auto"/>
              <w:right w:val="single" w:sz="4" w:space="0" w:color="auto"/>
            </w:tcBorders>
            <w:shd w:val="clear" w:color="000000" w:fill="66FFFF"/>
            <w:noWrap/>
            <w:vAlign w:val="center"/>
            <w:hideMark/>
          </w:tcPr>
          <w:p w14:paraId="704B9597"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Electrical capacity - AC</w:t>
            </w:r>
          </w:p>
        </w:tc>
        <w:tc>
          <w:tcPr>
            <w:tcW w:w="1413" w:type="dxa"/>
            <w:tcBorders>
              <w:top w:val="nil"/>
              <w:left w:val="nil"/>
              <w:bottom w:val="single" w:sz="4" w:space="0" w:color="auto"/>
              <w:right w:val="single" w:sz="8" w:space="0" w:color="auto"/>
            </w:tcBorders>
            <w:shd w:val="clear" w:color="000000" w:fill="66FFFF"/>
            <w:noWrap/>
            <w:vAlign w:val="center"/>
            <w:hideMark/>
          </w:tcPr>
          <w:p w14:paraId="1EB6A404" w14:textId="77777777" w:rsidR="00093F1C" w:rsidRPr="000F0A34" w:rsidRDefault="00093F1C" w:rsidP="00093F1C">
            <w:pPr>
              <w:spacing w:before="0" w:after="0"/>
              <w:ind w:right="-5"/>
              <w:jc w:val="left"/>
              <w:rPr>
                <w:rFonts w:ascii="Arial" w:hAnsi="Arial" w:cs="Arial"/>
                <w:b/>
                <w:bCs/>
                <w:sz w:val="18"/>
                <w:szCs w:val="18"/>
                <w:lang w:eastAsia="en-GB"/>
              </w:rPr>
            </w:pPr>
            <w:r w:rsidRPr="000F0A34">
              <w:rPr>
                <w:rFonts w:ascii="Arial" w:hAnsi="Arial" w:cs="Arial"/>
                <w:b/>
                <w:bCs/>
                <w:sz w:val="18"/>
                <w:szCs w:val="18"/>
                <w:lang w:eastAsia="en-GB"/>
              </w:rPr>
              <w:t>Electrical capacity - DC</w:t>
            </w:r>
          </w:p>
        </w:tc>
      </w:tr>
      <w:tr w:rsidR="00093F1C" w:rsidRPr="000F0A34" w14:paraId="53EF1E75" w14:textId="77777777" w:rsidTr="00093F1C">
        <w:trPr>
          <w:trHeight w:val="290"/>
        </w:trPr>
        <w:tc>
          <w:tcPr>
            <w:tcW w:w="1276" w:type="dxa"/>
            <w:tcBorders>
              <w:top w:val="single" w:sz="8" w:space="0" w:color="auto"/>
              <w:left w:val="single" w:sz="8" w:space="0" w:color="auto"/>
              <w:bottom w:val="single" w:sz="4" w:space="0" w:color="B0B0B0"/>
              <w:right w:val="single" w:sz="8" w:space="0" w:color="auto"/>
            </w:tcBorders>
            <w:shd w:val="clear" w:color="000000" w:fill="66FFFF"/>
            <w:noWrap/>
            <w:vAlign w:val="center"/>
            <w:hideMark/>
          </w:tcPr>
          <w:p w14:paraId="3882DF3D"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Belgium</w:t>
            </w:r>
          </w:p>
        </w:tc>
        <w:tc>
          <w:tcPr>
            <w:tcW w:w="1439" w:type="dxa"/>
            <w:tcBorders>
              <w:top w:val="nil"/>
              <w:left w:val="nil"/>
              <w:bottom w:val="single" w:sz="4" w:space="0" w:color="auto"/>
              <w:right w:val="single" w:sz="4" w:space="0" w:color="auto"/>
            </w:tcBorders>
            <w:shd w:val="clear" w:color="auto" w:fill="auto"/>
            <w:noWrap/>
            <w:vAlign w:val="center"/>
            <w:hideMark/>
          </w:tcPr>
          <w:p w14:paraId="5D55822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4,453.800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346EB39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15EC5BC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1,777.700</w:t>
            </w:r>
          </w:p>
        </w:tc>
        <w:tc>
          <w:tcPr>
            <w:tcW w:w="1376" w:type="dxa"/>
            <w:tcBorders>
              <w:top w:val="nil"/>
              <w:left w:val="nil"/>
              <w:bottom w:val="single" w:sz="4" w:space="0" w:color="auto"/>
              <w:right w:val="single" w:sz="4" w:space="0" w:color="auto"/>
            </w:tcBorders>
            <w:shd w:val="clear" w:color="auto" w:fill="auto"/>
            <w:noWrap/>
            <w:vAlign w:val="center"/>
            <w:hideMark/>
          </w:tcPr>
          <w:p w14:paraId="2789DCC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6EE77EF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524.600</w:t>
            </w:r>
          </w:p>
        </w:tc>
        <w:tc>
          <w:tcPr>
            <w:tcW w:w="1413" w:type="dxa"/>
            <w:tcBorders>
              <w:top w:val="nil"/>
              <w:left w:val="nil"/>
              <w:bottom w:val="single" w:sz="4" w:space="0" w:color="auto"/>
              <w:right w:val="single" w:sz="8" w:space="0" w:color="auto"/>
            </w:tcBorders>
            <w:shd w:val="clear" w:color="auto" w:fill="auto"/>
            <w:noWrap/>
            <w:vAlign w:val="center"/>
            <w:hideMark/>
          </w:tcPr>
          <w:p w14:paraId="41FE4D7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6FF4F620"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17703FE1"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Bulgaria</w:t>
            </w:r>
          </w:p>
        </w:tc>
        <w:tc>
          <w:tcPr>
            <w:tcW w:w="1439" w:type="dxa"/>
            <w:tcBorders>
              <w:top w:val="nil"/>
              <w:left w:val="nil"/>
              <w:bottom w:val="single" w:sz="4" w:space="0" w:color="auto"/>
              <w:right w:val="single" w:sz="4" w:space="0" w:color="auto"/>
            </w:tcBorders>
            <w:shd w:val="clear" w:color="auto" w:fill="auto"/>
            <w:noWrap/>
            <w:vAlign w:val="center"/>
            <w:hideMark/>
          </w:tcPr>
          <w:p w14:paraId="4FBBFE6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7A1BB5D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62.303</w:t>
            </w:r>
          </w:p>
        </w:tc>
        <w:tc>
          <w:tcPr>
            <w:tcW w:w="1449" w:type="dxa"/>
            <w:tcBorders>
              <w:top w:val="nil"/>
              <w:left w:val="nil"/>
              <w:bottom w:val="single" w:sz="4" w:space="0" w:color="auto"/>
              <w:right w:val="single" w:sz="4" w:space="0" w:color="auto"/>
            </w:tcBorders>
            <w:shd w:val="clear" w:color="auto" w:fill="auto"/>
            <w:noWrap/>
            <w:vAlign w:val="center"/>
            <w:hideMark/>
          </w:tcPr>
          <w:p w14:paraId="141C060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1220C77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396.908</w:t>
            </w:r>
          </w:p>
        </w:tc>
        <w:tc>
          <w:tcPr>
            <w:tcW w:w="1664" w:type="dxa"/>
            <w:tcBorders>
              <w:top w:val="nil"/>
              <w:left w:val="nil"/>
              <w:bottom w:val="single" w:sz="4" w:space="0" w:color="auto"/>
              <w:right w:val="single" w:sz="4" w:space="0" w:color="auto"/>
            </w:tcBorders>
            <w:shd w:val="clear" w:color="auto" w:fill="auto"/>
            <w:noWrap/>
            <w:vAlign w:val="center"/>
            <w:hideMark/>
          </w:tcPr>
          <w:p w14:paraId="0E90D03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648F7E8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1,277.973</w:t>
            </w:r>
          </w:p>
        </w:tc>
      </w:tr>
      <w:tr w:rsidR="00093F1C" w:rsidRPr="000F0A34" w14:paraId="446F0594"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23930C9B"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Czechia</w:t>
            </w:r>
          </w:p>
        </w:tc>
        <w:tc>
          <w:tcPr>
            <w:tcW w:w="1439" w:type="dxa"/>
            <w:tcBorders>
              <w:top w:val="nil"/>
              <w:left w:val="nil"/>
              <w:bottom w:val="single" w:sz="4" w:space="0" w:color="auto"/>
              <w:right w:val="single" w:sz="4" w:space="0" w:color="auto"/>
            </w:tcBorders>
            <w:shd w:val="clear" w:color="auto" w:fill="auto"/>
            <w:noWrap/>
            <w:vAlign w:val="center"/>
            <w:hideMark/>
          </w:tcPr>
          <w:p w14:paraId="527AE78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5011F71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561.812</w:t>
            </w:r>
          </w:p>
        </w:tc>
        <w:tc>
          <w:tcPr>
            <w:tcW w:w="1449" w:type="dxa"/>
            <w:tcBorders>
              <w:top w:val="nil"/>
              <w:left w:val="nil"/>
              <w:bottom w:val="single" w:sz="4" w:space="0" w:color="auto"/>
              <w:right w:val="single" w:sz="4" w:space="0" w:color="auto"/>
            </w:tcBorders>
            <w:shd w:val="clear" w:color="auto" w:fill="auto"/>
            <w:noWrap/>
            <w:vAlign w:val="center"/>
            <w:hideMark/>
          </w:tcPr>
          <w:p w14:paraId="5C40482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291BE49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533.903</w:t>
            </w:r>
          </w:p>
        </w:tc>
        <w:tc>
          <w:tcPr>
            <w:tcW w:w="1664" w:type="dxa"/>
            <w:tcBorders>
              <w:top w:val="nil"/>
              <w:left w:val="nil"/>
              <w:bottom w:val="single" w:sz="4" w:space="0" w:color="auto"/>
              <w:right w:val="single" w:sz="4" w:space="0" w:color="auto"/>
            </w:tcBorders>
            <w:shd w:val="clear" w:color="auto" w:fill="auto"/>
            <w:noWrap/>
            <w:vAlign w:val="center"/>
            <w:hideMark/>
          </w:tcPr>
          <w:p w14:paraId="2E1E57F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5D208A8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1,324.766</w:t>
            </w:r>
          </w:p>
        </w:tc>
      </w:tr>
      <w:tr w:rsidR="00093F1C" w:rsidRPr="000F0A34" w14:paraId="1AE4A44F"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7235E2DE"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Denmark</w:t>
            </w:r>
          </w:p>
        </w:tc>
        <w:tc>
          <w:tcPr>
            <w:tcW w:w="1439" w:type="dxa"/>
            <w:tcBorders>
              <w:top w:val="nil"/>
              <w:left w:val="nil"/>
              <w:bottom w:val="single" w:sz="4" w:space="0" w:color="auto"/>
              <w:right w:val="single" w:sz="4" w:space="0" w:color="auto"/>
            </w:tcBorders>
            <w:shd w:val="clear" w:color="auto" w:fill="auto"/>
            <w:noWrap/>
            <w:vAlign w:val="center"/>
            <w:hideMark/>
          </w:tcPr>
          <w:p w14:paraId="320E5A4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651.652</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6BAA2DA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7AA76EE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521.194</w:t>
            </w:r>
          </w:p>
        </w:tc>
        <w:tc>
          <w:tcPr>
            <w:tcW w:w="1376" w:type="dxa"/>
            <w:tcBorders>
              <w:top w:val="nil"/>
              <w:left w:val="nil"/>
              <w:bottom w:val="single" w:sz="4" w:space="0" w:color="auto"/>
              <w:right w:val="single" w:sz="4" w:space="0" w:color="auto"/>
            </w:tcBorders>
            <w:shd w:val="clear" w:color="auto" w:fill="auto"/>
            <w:noWrap/>
            <w:vAlign w:val="center"/>
            <w:hideMark/>
          </w:tcPr>
          <w:p w14:paraId="0455CBE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6A7C949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1,897.054</w:t>
            </w:r>
          </w:p>
        </w:tc>
        <w:tc>
          <w:tcPr>
            <w:tcW w:w="1413" w:type="dxa"/>
            <w:tcBorders>
              <w:top w:val="nil"/>
              <w:left w:val="nil"/>
              <w:bottom w:val="single" w:sz="4" w:space="0" w:color="auto"/>
              <w:right w:val="single" w:sz="8" w:space="0" w:color="auto"/>
            </w:tcBorders>
            <w:shd w:val="clear" w:color="auto" w:fill="auto"/>
            <w:noWrap/>
            <w:vAlign w:val="center"/>
            <w:hideMark/>
          </w:tcPr>
          <w:p w14:paraId="485C603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E16F250"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50801B41"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Germany</w:t>
            </w:r>
          </w:p>
        </w:tc>
        <w:tc>
          <w:tcPr>
            <w:tcW w:w="1439" w:type="dxa"/>
            <w:tcBorders>
              <w:top w:val="nil"/>
              <w:left w:val="nil"/>
              <w:bottom w:val="single" w:sz="4" w:space="0" w:color="auto"/>
              <w:right w:val="single" w:sz="4" w:space="0" w:color="auto"/>
            </w:tcBorders>
            <w:shd w:val="clear" w:color="auto" w:fill="auto"/>
            <w:noWrap/>
            <w:vAlign w:val="center"/>
            <w:hideMark/>
          </w:tcPr>
          <w:p w14:paraId="7AB7C29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76B03D0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23,773.000</w:t>
            </w:r>
          </w:p>
        </w:tc>
        <w:tc>
          <w:tcPr>
            <w:tcW w:w="1449" w:type="dxa"/>
            <w:tcBorders>
              <w:top w:val="nil"/>
              <w:left w:val="nil"/>
              <w:bottom w:val="single" w:sz="4" w:space="0" w:color="auto"/>
              <w:right w:val="single" w:sz="4" w:space="0" w:color="auto"/>
            </w:tcBorders>
            <w:shd w:val="clear" w:color="auto" w:fill="auto"/>
            <w:noWrap/>
            <w:vAlign w:val="center"/>
            <w:hideMark/>
          </w:tcPr>
          <w:p w14:paraId="6222BF5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6A1244B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25,409.000</w:t>
            </w:r>
          </w:p>
        </w:tc>
        <w:tc>
          <w:tcPr>
            <w:tcW w:w="1664" w:type="dxa"/>
            <w:tcBorders>
              <w:top w:val="nil"/>
              <w:left w:val="nil"/>
              <w:bottom w:val="single" w:sz="4" w:space="0" w:color="auto"/>
              <w:right w:val="single" w:sz="4" w:space="0" w:color="auto"/>
            </w:tcBorders>
            <w:shd w:val="clear" w:color="auto" w:fill="auto"/>
            <w:noWrap/>
            <w:vAlign w:val="center"/>
            <w:hideMark/>
          </w:tcPr>
          <w:p w14:paraId="59E211F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50D81E8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18,295.000</w:t>
            </w:r>
          </w:p>
        </w:tc>
      </w:tr>
      <w:tr w:rsidR="00093F1C" w:rsidRPr="000F0A34" w14:paraId="3A910ED9"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215AAA6D"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Estonia</w:t>
            </w:r>
          </w:p>
        </w:tc>
        <w:tc>
          <w:tcPr>
            <w:tcW w:w="1439" w:type="dxa"/>
            <w:tcBorders>
              <w:top w:val="nil"/>
              <w:left w:val="nil"/>
              <w:bottom w:val="single" w:sz="4" w:space="0" w:color="auto"/>
              <w:right w:val="single" w:sz="4" w:space="0" w:color="auto"/>
            </w:tcBorders>
            <w:shd w:val="clear" w:color="auto" w:fill="auto"/>
            <w:noWrap/>
            <w:vAlign w:val="center"/>
            <w:hideMark/>
          </w:tcPr>
          <w:p w14:paraId="589E7B4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102.000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52EC599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5035C6E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411.000</w:t>
            </w:r>
          </w:p>
        </w:tc>
        <w:tc>
          <w:tcPr>
            <w:tcW w:w="1376" w:type="dxa"/>
            <w:tcBorders>
              <w:top w:val="nil"/>
              <w:left w:val="nil"/>
              <w:bottom w:val="single" w:sz="4" w:space="0" w:color="auto"/>
              <w:right w:val="single" w:sz="4" w:space="0" w:color="auto"/>
            </w:tcBorders>
            <w:shd w:val="clear" w:color="auto" w:fill="auto"/>
            <w:noWrap/>
            <w:vAlign w:val="center"/>
            <w:hideMark/>
          </w:tcPr>
          <w:p w14:paraId="3A1D607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140AA46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7.000</w:t>
            </w:r>
          </w:p>
        </w:tc>
        <w:tc>
          <w:tcPr>
            <w:tcW w:w="1413" w:type="dxa"/>
            <w:tcBorders>
              <w:top w:val="nil"/>
              <w:left w:val="nil"/>
              <w:bottom w:val="single" w:sz="4" w:space="0" w:color="auto"/>
              <w:right w:val="single" w:sz="8" w:space="0" w:color="auto"/>
            </w:tcBorders>
            <w:shd w:val="clear" w:color="auto" w:fill="auto"/>
            <w:noWrap/>
            <w:vAlign w:val="center"/>
            <w:hideMark/>
          </w:tcPr>
          <w:p w14:paraId="7752B25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539E6685"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69F360E3"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Ireland</w:t>
            </w:r>
          </w:p>
        </w:tc>
        <w:tc>
          <w:tcPr>
            <w:tcW w:w="1439" w:type="dxa"/>
            <w:tcBorders>
              <w:top w:val="nil"/>
              <w:left w:val="nil"/>
              <w:bottom w:val="single" w:sz="4" w:space="0" w:color="auto"/>
              <w:right w:val="single" w:sz="4" w:space="0" w:color="auto"/>
            </w:tcBorders>
            <w:shd w:val="clear" w:color="auto" w:fill="auto"/>
            <w:noWrap/>
            <w:vAlign w:val="center"/>
            <w:hideMark/>
          </w:tcPr>
          <w:p w14:paraId="6E262D6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95.189</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9A9A9B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118.986</w:t>
            </w:r>
          </w:p>
        </w:tc>
        <w:tc>
          <w:tcPr>
            <w:tcW w:w="1449" w:type="dxa"/>
            <w:tcBorders>
              <w:top w:val="nil"/>
              <w:left w:val="nil"/>
              <w:bottom w:val="single" w:sz="4" w:space="0" w:color="auto"/>
              <w:right w:val="single" w:sz="4" w:space="0" w:color="auto"/>
            </w:tcBorders>
            <w:shd w:val="clear" w:color="auto" w:fill="auto"/>
            <w:noWrap/>
            <w:vAlign w:val="center"/>
            <w:hideMark/>
          </w:tcPr>
          <w:p w14:paraId="0CE0490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44.629</w:t>
            </w:r>
          </w:p>
        </w:tc>
        <w:tc>
          <w:tcPr>
            <w:tcW w:w="1376" w:type="dxa"/>
            <w:tcBorders>
              <w:top w:val="nil"/>
              <w:left w:val="nil"/>
              <w:bottom w:val="single" w:sz="4" w:space="0" w:color="auto"/>
              <w:right w:val="single" w:sz="4" w:space="0" w:color="auto"/>
            </w:tcBorders>
            <w:shd w:val="clear" w:color="auto" w:fill="auto"/>
            <w:noWrap/>
            <w:vAlign w:val="center"/>
            <w:hideMark/>
          </w:tcPr>
          <w:p w14:paraId="135DE42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55.786</w:t>
            </w:r>
          </w:p>
        </w:tc>
        <w:tc>
          <w:tcPr>
            <w:tcW w:w="1664" w:type="dxa"/>
            <w:tcBorders>
              <w:top w:val="nil"/>
              <w:left w:val="nil"/>
              <w:bottom w:val="single" w:sz="4" w:space="0" w:color="auto"/>
              <w:right w:val="single" w:sz="4" w:space="0" w:color="auto"/>
            </w:tcBorders>
            <w:shd w:val="clear" w:color="auto" w:fill="auto"/>
            <w:noWrap/>
            <w:vAlign w:val="center"/>
            <w:hideMark/>
          </w:tcPr>
          <w:p w14:paraId="1405E9B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48.048</w:t>
            </w:r>
          </w:p>
        </w:tc>
        <w:tc>
          <w:tcPr>
            <w:tcW w:w="1413" w:type="dxa"/>
            <w:tcBorders>
              <w:top w:val="nil"/>
              <w:left w:val="nil"/>
              <w:bottom w:val="single" w:sz="4" w:space="0" w:color="auto"/>
              <w:right w:val="single" w:sz="8" w:space="0" w:color="auto"/>
            </w:tcBorders>
            <w:shd w:val="clear" w:color="auto" w:fill="auto"/>
            <w:noWrap/>
            <w:vAlign w:val="center"/>
            <w:hideMark/>
          </w:tcPr>
          <w:p w14:paraId="41E39A2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69.542</w:t>
            </w:r>
          </w:p>
        </w:tc>
      </w:tr>
      <w:tr w:rsidR="00093F1C" w:rsidRPr="000F0A34" w14:paraId="69EBB685"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7ECFE2AA"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Greece</w:t>
            </w:r>
          </w:p>
        </w:tc>
        <w:tc>
          <w:tcPr>
            <w:tcW w:w="1439" w:type="dxa"/>
            <w:tcBorders>
              <w:top w:val="nil"/>
              <w:left w:val="nil"/>
              <w:bottom w:val="single" w:sz="4" w:space="0" w:color="auto"/>
              <w:right w:val="single" w:sz="4" w:space="0" w:color="auto"/>
            </w:tcBorders>
            <w:shd w:val="clear" w:color="auto" w:fill="auto"/>
            <w:noWrap/>
            <w:vAlign w:val="center"/>
            <w:hideMark/>
          </w:tcPr>
          <w:p w14:paraId="394EDC1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708.381</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215F25D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708.381</w:t>
            </w:r>
          </w:p>
        </w:tc>
        <w:tc>
          <w:tcPr>
            <w:tcW w:w="1449" w:type="dxa"/>
            <w:tcBorders>
              <w:top w:val="nil"/>
              <w:left w:val="nil"/>
              <w:bottom w:val="single" w:sz="4" w:space="0" w:color="auto"/>
              <w:right w:val="single" w:sz="4" w:space="0" w:color="auto"/>
            </w:tcBorders>
            <w:shd w:val="clear" w:color="auto" w:fill="auto"/>
            <w:noWrap/>
            <w:vAlign w:val="center"/>
            <w:hideMark/>
          </w:tcPr>
          <w:p w14:paraId="5A3C8D9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3,495.056</w:t>
            </w:r>
          </w:p>
        </w:tc>
        <w:tc>
          <w:tcPr>
            <w:tcW w:w="1376" w:type="dxa"/>
            <w:tcBorders>
              <w:top w:val="nil"/>
              <w:left w:val="nil"/>
              <w:bottom w:val="single" w:sz="4" w:space="0" w:color="auto"/>
              <w:right w:val="single" w:sz="4" w:space="0" w:color="auto"/>
            </w:tcBorders>
            <w:shd w:val="clear" w:color="auto" w:fill="auto"/>
            <w:noWrap/>
            <w:vAlign w:val="center"/>
            <w:hideMark/>
          </w:tcPr>
          <w:p w14:paraId="6011A35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3,495.056</w:t>
            </w:r>
          </w:p>
        </w:tc>
        <w:tc>
          <w:tcPr>
            <w:tcW w:w="1664" w:type="dxa"/>
            <w:tcBorders>
              <w:top w:val="nil"/>
              <w:left w:val="nil"/>
              <w:bottom w:val="single" w:sz="4" w:space="0" w:color="auto"/>
              <w:right w:val="single" w:sz="4" w:space="0" w:color="auto"/>
            </w:tcBorders>
            <w:shd w:val="clear" w:color="auto" w:fill="auto"/>
            <w:noWrap/>
            <w:vAlign w:val="center"/>
            <w:hideMark/>
          </w:tcPr>
          <w:p w14:paraId="1FB327C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1,226.646</w:t>
            </w:r>
          </w:p>
        </w:tc>
        <w:tc>
          <w:tcPr>
            <w:tcW w:w="1413" w:type="dxa"/>
            <w:tcBorders>
              <w:top w:val="nil"/>
              <w:left w:val="nil"/>
              <w:bottom w:val="single" w:sz="4" w:space="0" w:color="auto"/>
              <w:right w:val="single" w:sz="8" w:space="0" w:color="auto"/>
            </w:tcBorders>
            <w:shd w:val="clear" w:color="auto" w:fill="auto"/>
            <w:noWrap/>
            <w:vAlign w:val="center"/>
            <w:hideMark/>
          </w:tcPr>
          <w:p w14:paraId="3708DBF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1,226.646</w:t>
            </w:r>
          </w:p>
        </w:tc>
      </w:tr>
      <w:tr w:rsidR="00093F1C" w:rsidRPr="000F0A34" w14:paraId="448A694D"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12C60F12"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Spain</w:t>
            </w:r>
          </w:p>
        </w:tc>
        <w:tc>
          <w:tcPr>
            <w:tcW w:w="1439" w:type="dxa"/>
            <w:tcBorders>
              <w:top w:val="nil"/>
              <w:left w:val="nil"/>
              <w:bottom w:val="single" w:sz="4" w:space="0" w:color="auto"/>
              <w:right w:val="single" w:sz="4" w:space="0" w:color="auto"/>
            </w:tcBorders>
            <w:shd w:val="clear" w:color="auto" w:fill="auto"/>
            <w:noWrap/>
            <w:vAlign w:val="center"/>
            <w:hideMark/>
          </w:tcPr>
          <w:p w14:paraId="6B95091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2,662.330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F8AA4D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14E21B0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3,943.711</w:t>
            </w:r>
          </w:p>
        </w:tc>
        <w:tc>
          <w:tcPr>
            <w:tcW w:w="1376" w:type="dxa"/>
            <w:tcBorders>
              <w:top w:val="nil"/>
              <w:left w:val="nil"/>
              <w:bottom w:val="single" w:sz="4" w:space="0" w:color="auto"/>
              <w:right w:val="single" w:sz="4" w:space="0" w:color="auto"/>
            </w:tcBorders>
            <w:shd w:val="clear" w:color="auto" w:fill="auto"/>
            <w:noWrap/>
            <w:vAlign w:val="center"/>
            <w:hideMark/>
          </w:tcPr>
          <w:p w14:paraId="4133B65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77E7A09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16,705.220</w:t>
            </w:r>
          </w:p>
        </w:tc>
        <w:tc>
          <w:tcPr>
            <w:tcW w:w="1413" w:type="dxa"/>
            <w:tcBorders>
              <w:top w:val="nil"/>
              <w:left w:val="nil"/>
              <w:bottom w:val="single" w:sz="4" w:space="0" w:color="auto"/>
              <w:right w:val="single" w:sz="8" w:space="0" w:color="auto"/>
            </w:tcBorders>
            <w:shd w:val="clear" w:color="auto" w:fill="auto"/>
            <w:noWrap/>
            <w:vAlign w:val="center"/>
            <w:hideMark/>
          </w:tcPr>
          <w:p w14:paraId="0C08B16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AF2F63A"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0CF6813F"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France</w:t>
            </w:r>
          </w:p>
        </w:tc>
        <w:tc>
          <w:tcPr>
            <w:tcW w:w="1439" w:type="dxa"/>
            <w:tcBorders>
              <w:top w:val="nil"/>
              <w:left w:val="nil"/>
              <w:bottom w:val="single" w:sz="4" w:space="0" w:color="auto"/>
              <w:right w:val="single" w:sz="4" w:space="0" w:color="auto"/>
            </w:tcBorders>
            <w:shd w:val="clear" w:color="auto" w:fill="auto"/>
            <w:noWrap/>
            <w:vAlign w:val="center"/>
            <w:hideMark/>
          </w:tcPr>
          <w:p w14:paraId="6834C32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B30B83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2,130.494</w:t>
            </w:r>
          </w:p>
        </w:tc>
        <w:tc>
          <w:tcPr>
            <w:tcW w:w="1449" w:type="dxa"/>
            <w:tcBorders>
              <w:top w:val="nil"/>
              <w:left w:val="nil"/>
              <w:bottom w:val="single" w:sz="4" w:space="0" w:color="auto"/>
              <w:right w:val="single" w:sz="4" w:space="0" w:color="auto"/>
            </w:tcBorders>
            <w:shd w:val="clear" w:color="auto" w:fill="auto"/>
            <w:noWrap/>
            <w:vAlign w:val="center"/>
            <w:hideMark/>
          </w:tcPr>
          <w:p w14:paraId="2718F80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03EF94F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5,870.587</w:t>
            </w:r>
          </w:p>
        </w:tc>
        <w:tc>
          <w:tcPr>
            <w:tcW w:w="1664" w:type="dxa"/>
            <w:tcBorders>
              <w:top w:val="nil"/>
              <w:left w:val="nil"/>
              <w:bottom w:val="single" w:sz="4" w:space="0" w:color="auto"/>
              <w:right w:val="single" w:sz="4" w:space="0" w:color="auto"/>
            </w:tcBorders>
            <w:shd w:val="clear" w:color="auto" w:fill="auto"/>
            <w:noWrap/>
            <w:vAlign w:val="center"/>
            <w:hideMark/>
          </w:tcPr>
          <w:p w14:paraId="19325D3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3C2FA5A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9,340.212</w:t>
            </w:r>
          </w:p>
        </w:tc>
      </w:tr>
      <w:tr w:rsidR="00093F1C" w:rsidRPr="000F0A34" w14:paraId="3294DC0A"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25DCBA88"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Croatia</w:t>
            </w:r>
          </w:p>
        </w:tc>
        <w:tc>
          <w:tcPr>
            <w:tcW w:w="1439" w:type="dxa"/>
            <w:tcBorders>
              <w:top w:val="nil"/>
              <w:left w:val="nil"/>
              <w:bottom w:val="single" w:sz="4" w:space="0" w:color="auto"/>
              <w:right w:val="single" w:sz="4" w:space="0" w:color="auto"/>
            </w:tcBorders>
            <w:shd w:val="clear" w:color="auto" w:fill="auto"/>
            <w:noWrap/>
            <w:vAlign w:val="center"/>
            <w:hideMark/>
          </w:tcPr>
          <w:p w14:paraId="13F8E2A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E1B728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0E04E9A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190.500</w:t>
            </w:r>
          </w:p>
        </w:tc>
        <w:tc>
          <w:tcPr>
            <w:tcW w:w="1376" w:type="dxa"/>
            <w:tcBorders>
              <w:top w:val="nil"/>
              <w:left w:val="nil"/>
              <w:bottom w:val="single" w:sz="4" w:space="0" w:color="auto"/>
              <w:right w:val="single" w:sz="4" w:space="0" w:color="auto"/>
            </w:tcBorders>
            <w:shd w:val="clear" w:color="auto" w:fill="auto"/>
            <w:noWrap/>
            <w:vAlign w:val="center"/>
            <w:hideMark/>
          </w:tcPr>
          <w:p w14:paraId="6D83776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6788101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31.500</w:t>
            </w:r>
          </w:p>
        </w:tc>
        <w:tc>
          <w:tcPr>
            <w:tcW w:w="1413" w:type="dxa"/>
            <w:tcBorders>
              <w:top w:val="nil"/>
              <w:left w:val="nil"/>
              <w:bottom w:val="single" w:sz="4" w:space="0" w:color="auto"/>
              <w:right w:val="single" w:sz="8" w:space="0" w:color="auto"/>
            </w:tcBorders>
            <w:shd w:val="clear" w:color="auto" w:fill="auto"/>
            <w:noWrap/>
            <w:vAlign w:val="center"/>
            <w:hideMark/>
          </w:tcPr>
          <w:p w14:paraId="69DF322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2EF3DD89"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13CA307F"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Italy</w:t>
            </w:r>
          </w:p>
        </w:tc>
        <w:tc>
          <w:tcPr>
            <w:tcW w:w="1439" w:type="dxa"/>
            <w:tcBorders>
              <w:top w:val="nil"/>
              <w:left w:val="nil"/>
              <w:bottom w:val="single" w:sz="4" w:space="0" w:color="auto"/>
              <w:right w:val="single" w:sz="4" w:space="0" w:color="auto"/>
            </w:tcBorders>
            <w:shd w:val="clear" w:color="auto" w:fill="auto"/>
            <w:noWrap/>
            <w:vAlign w:val="center"/>
            <w:hideMark/>
          </w:tcPr>
          <w:p w14:paraId="12AA663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6,397.314</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2E1F262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6,571.589</w:t>
            </w:r>
          </w:p>
        </w:tc>
        <w:tc>
          <w:tcPr>
            <w:tcW w:w="1449" w:type="dxa"/>
            <w:tcBorders>
              <w:top w:val="nil"/>
              <w:left w:val="nil"/>
              <w:bottom w:val="single" w:sz="4" w:space="0" w:color="auto"/>
              <w:right w:val="single" w:sz="4" w:space="0" w:color="auto"/>
            </w:tcBorders>
            <w:shd w:val="clear" w:color="auto" w:fill="auto"/>
            <w:noWrap/>
            <w:vAlign w:val="center"/>
            <w:hideMark/>
          </w:tcPr>
          <w:p w14:paraId="7C07F43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12,989.507</w:t>
            </w:r>
          </w:p>
        </w:tc>
        <w:tc>
          <w:tcPr>
            <w:tcW w:w="1376" w:type="dxa"/>
            <w:tcBorders>
              <w:top w:val="nil"/>
              <w:left w:val="nil"/>
              <w:bottom w:val="single" w:sz="4" w:space="0" w:color="auto"/>
              <w:right w:val="single" w:sz="4" w:space="0" w:color="auto"/>
            </w:tcBorders>
            <w:shd w:val="clear" w:color="auto" w:fill="auto"/>
            <w:noWrap/>
            <w:vAlign w:val="center"/>
            <w:hideMark/>
          </w:tcPr>
          <w:p w14:paraId="5830F5D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13,134.253</w:t>
            </w:r>
          </w:p>
        </w:tc>
        <w:tc>
          <w:tcPr>
            <w:tcW w:w="1664" w:type="dxa"/>
            <w:tcBorders>
              <w:top w:val="nil"/>
              <w:left w:val="nil"/>
              <w:bottom w:val="single" w:sz="4" w:space="0" w:color="auto"/>
              <w:right w:val="single" w:sz="4" w:space="0" w:color="auto"/>
            </w:tcBorders>
            <w:shd w:val="clear" w:color="auto" w:fill="auto"/>
            <w:noWrap/>
            <w:vAlign w:val="center"/>
            <w:hideMark/>
          </w:tcPr>
          <w:p w14:paraId="695314E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5,168.427</w:t>
            </w:r>
          </w:p>
        </w:tc>
        <w:tc>
          <w:tcPr>
            <w:tcW w:w="1413" w:type="dxa"/>
            <w:tcBorders>
              <w:top w:val="nil"/>
              <w:left w:val="nil"/>
              <w:bottom w:val="single" w:sz="4" w:space="0" w:color="auto"/>
              <w:right w:val="single" w:sz="8" w:space="0" w:color="auto"/>
            </w:tcBorders>
            <w:shd w:val="clear" w:color="auto" w:fill="auto"/>
            <w:noWrap/>
            <w:vAlign w:val="center"/>
            <w:hideMark/>
          </w:tcPr>
          <w:p w14:paraId="3357160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5,358.076</w:t>
            </w:r>
          </w:p>
        </w:tc>
      </w:tr>
      <w:tr w:rsidR="00093F1C" w:rsidRPr="000F0A34" w14:paraId="106E537E"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5C869AF2"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Cyprus</w:t>
            </w:r>
          </w:p>
        </w:tc>
        <w:tc>
          <w:tcPr>
            <w:tcW w:w="1439" w:type="dxa"/>
            <w:tcBorders>
              <w:top w:val="nil"/>
              <w:left w:val="nil"/>
              <w:bottom w:val="single" w:sz="4" w:space="0" w:color="auto"/>
              <w:right w:val="single" w:sz="4" w:space="0" w:color="auto"/>
            </w:tcBorders>
            <w:shd w:val="clear" w:color="auto" w:fill="auto"/>
            <w:noWrap/>
            <w:vAlign w:val="center"/>
            <w:hideMark/>
          </w:tcPr>
          <w:p w14:paraId="175EF64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311A87F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61DDD7F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16B3913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01D6234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0F1414C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77E8B527"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7385C58A"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Latvia</w:t>
            </w:r>
          </w:p>
        </w:tc>
        <w:tc>
          <w:tcPr>
            <w:tcW w:w="1439" w:type="dxa"/>
            <w:tcBorders>
              <w:top w:val="nil"/>
              <w:left w:val="nil"/>
              <w:bottom w:val="single" w:sz="4" w:space="0" w:color="auto"/>
              <w:right w:val="single" w:sz="4" w:space="0" w:color="auto"/>
            </w:tcBorders>
            <w:shd w:val="clear" w:color="auto" w:fill="auto"/>
            <w:noWrap/>
            <w:vAlign w:val="center"/>
            <w:hideMark/>
          </w:tcPr>
          <w:p w14:paraId="549881C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97.823</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79B8C45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4051AEF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15.177</w:t>
            </w:r>
          </w:p>
        </w:tc>
        <w:tc>
          <w:tcPr>
            <w:tcW w:w="1376" w:type="dxa"/>
            <w:tcBorders>
              <w:top w:val="nil"/>
              <w:left w:val="nil"/>
              <w:bottom w:val="single" w:sz="4" w:space="0" w:color="auto"/>
              <w:right w:val="single" w:sz="4" w:space="0" w:color="auto"/>
            </w:tcBorders>
            <w:shd w:val="clear" w:color="auto" w:fill="auto"/>
            <w:noWrap/>
            <w:vAlign w:val="center"/>
            <w:hideMark/>
          </w:tcPr>
          <w:p w14:paraId="18B17CA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6C085E2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1811A4B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44FAB1D1"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357A8D9C"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Lithuania</w:t>
            </w:r>
          </w:p>
        </w:tc>
        <w:tc>
          <w:tcPr>
            <w:tcW w:w="1439" w:type="dxa"/>
            <w:tcBorders>
              <w:top w:val="nil"/>
              <w:left w:val="nil"/>
              <w:bottom w:val="single" w:sz="4" w:space="0" w:color="auto"/>
              <w:right w:val="single" w:sz="4" w:space="0" w:color="auto"/>
            </w:tcBorders>
            <w:shd w:val="clear" w:color="auto" w:fill="auto"/>
            <w:noWrap/>
            <w:vAlign w:val="center"/>
            <w:hideMark/>
          </w:tcPr>
          <w:p w14:paraId="5D71166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567549C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488.000</w:t>
            </w:r>
          </w:p>
        </w:tc>
        <w:tc>
          <w:tcPr>
            <w:tcW w:w="1449" w:type="dxa"/>
            <w:tcBorders>
              <w:top w:val="nil"/>
              <w:left w:val="nil"/>
              <w:bottom w:val="single" w:sz="4" w:space="0" w:color="auto"/>
              <w:right w:val="single" w:sz="4" w:space="0" w:color="auto"/>
            </w:tcBorders>
            <w:shd w:val="clear" w:color="auto" w:fill="auto"/>
            <w:noWrap/>
            <w:vAlign w:val="center"/>
            <w:hideMark/>
          </w:tcPr>
          <w:p w14:paraId="6C9D3C4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671D49F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73.000</w:t>
            </w:r>
          </w:p>
        </w:tc>
        <w:tc>
          <w:tcPr>
            <w:tcW w:w="1664" w:type="dxa"/>
            <w:tcBorders>
              <w:top w:val="nil"/>
              <w:left w:val="nil"/>
              <w:bottom w:val="single" w:sz="4" w:space="0" w:color="auto"/>
              <w:right w:val="single" w:sz="4" w:space="0" w:color="auto"/>
            </w:tcBorders>
            <w:shd w:val="clear" w:color="auto" w:fill="auto"/>
            <w:noWrap/>
            <w:vAlign w:val="center"/>
            <w:hideMark/>
          </w:tcPr>
          <w:p w14:paraId="69ABD6D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005E840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11.000</w:t>
            </w:r>
          </w:p>
        </w:tc>
      </w:tr>
      <w:tr w:rsidR="00093F1C" w:rsidRPr="000F0A34" w14:paraId="22351DE9"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60847325"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Luxembourg</w:t>
            </w:r>
          </w:p>
        </w:tc>
        <w:tc>
          <w:tcPr>
            <w:tcW w:w="1439" w:type="dxa"/>
            <w:tcBorders>
              <w:top w:val="nil"/>
              <w:left w:val="nil"/>
              <w:bottom w:val="single" w:sz="4" w:space="0" w:color="auto"/>
              <w:right w:val="single" w:sz="4" w:space="0" w:color="auto"/>
            </w:tcBorders>
            <w:shd w:val="clear" w:color="auto" w:fill="auto"/>
            <w:noWrap/>
            <w:vAlign w:val="center"/>
            <w:hideMark/>
          </w:tcPr>
          <w:p w14:paraId="2E1CA33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113.919</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1BAED0F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1C939F5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158.754</w:t>
            </w:r>
          </w:p>
        </w:tc>
        <w:tc>
          <w:tcPr>
            <w:tcW w:w="1376" w:type="dxa"/>
            <w:tcBorders>
              <w:top w:val="nil"/>
              <w:left w:val="nil"/>
              <w:bottom w:val="single" w:sz="4" w:space="0" w:color="auto"/>
              <w:right w:val="single" w:sz="4" w:space="0" w:color="auto"/>
            </w:tcBorders>
            <w:shd w:val="clear" w:color="auto" w:fill="auto"/>
            <w:noWrap/>
            <w:vAlign w:val="center"/>
            <w:hideMark/>
          </w:tcPr>
          <w:p w14:paraId="6653F5D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3E0B05E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43.961</w:t>
            </w:r>
          </w:p>
        </w:tc>
        <w:tc>
          <w:tcPr>
            <w:tcW w:w="1413" w:type="dxa"/>
            <w:tcBorders>
              <w:top w:val="nil"/>
              <w:left w:val="nil"/>
              <w:bottom w:val="single" w:sz="4" w:space="0" w:color="auto"/>
              <w:right w:val="single" w:sz="8" w:space="0" w:color="auto"/>
            </w:tcBorders>
            <w:shd w:val="clear" w:color="auto" w:fill="auto"/>
            <w:noWrap/>
            <w:vAlign w:val="center"/>
            <w:hideMark/>
          </w:tcPr>
          <w:p w14:paraId="47EE761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A292245"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6AC9270B"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Hungary</w:t>
            </w:r>
          </w:p>
        </w:tc>
        <w:tc>
          <w:tcPr>
            <w:tcW w:w="1439" w:type="dxa"/>
            <w:tcBorders>
              <w:top w:val="nil"/>
              <w:left w:val="nil"/>
              <w:bottom w:val="single" w:sz="4" w:space="0" w:color="auto"/>
              <w:right w:val="single" w:sz="4" w:space="0" w:color="auto"/>
            </w:tcBorders>
            <w:shd w:val="clear" w:color="auto" w:fill="auto"/>
            <w:noWrap/>
            <w:vAlign w:val="center"/>
            <w:hideMark/>
          </w:tcPr>
          <w:p w14:paraId="41EEC6E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1,265.000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00504A8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2347FE0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1,768.000</w:t>
            </w:r>
          </w:p>
        </w:tc>
        <w:tc>
          <w:tcPr>
            <w:tcW w:w="1376" w:type="dxa"/>
            <w:tcBorders>
              <w:top w:val="nil"/>
              <w:left w:val="nil"/>
              <w:bottom w:val="single" w:sz="4" w:space="0" w:color="auto"/>
              <w:right w:val="single" w:sz="4" w:space="0" w:color="auto"/>
            </w:tcBorders>
            <w:shd w:val="clear" w:color="auto" w:fill="auto"/>
            <w:noWrap/>
            <w:vAlign w:val="center"/>
            <w:hideMark/>
          </w:tcPr>
          <w:p w14:paraId="1BE8217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3359985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1,202.000</w:t>
            </w:r>
          </w:p>
        </w:tc>
        <w:tc>
          <w:tcPr>
            <w:tcW w:w="1413" w:type="dxa"/>
            <w:tcBorders>
              <w:top w:val="nil"/>
              <w:left w:val="nil"/>
              <w:bottom w:val="single" w:sz="4" w:space="0" w:color="auto"/>
              <w:right w:val="single" w:sz="8" w:space="0" w:color="auto"/>
            </w:tcBorders>
            <w:shd w:val="clear" w:color="auto" w:fill="auto"/>
            <w:noWrap/>
            <w:vAlign w:val="center"/>
            <w:hideMark/>
          </w:tcPr>
          <w:p w14:paraId="0F35487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50A4AF03"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67147746"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Malta</w:t>
            </w:r>
          </w:p>
        </w:tc>
        <w:tc>
          <w:tcPr>
            <w:tcW w:w="1439" w:type="dxa"/>
            <w:tcBorders>
              <w:top w:val="nil"/>
              <w:left w:val="nil"/>
              <w:bottom w:val="single" w:sz="4" w:space="0" w:color="auto"/>
              <w:right w:val="single" w:sz="4" w:space="0" w:color="auto"/>
            </w:tcBorders>
            <w:shd w:val="clear" w:color="auto" w:fill="auto"/>
            <w:noWrap/>
            <w:vAlign w:val="center"/>
            <w:hideMark/>
          </w:tcPr>
          <w:p w14:paraId="63371D0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5460A36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115.782</w:t>
            </w:r>
          </w:p>
        </w:tc>
        <w:tc>
          <w:tcPr>
            <w:tcW w:w="1449" w:type="dxa"/>
            <w:tcBorders>
              <w:top w:val="nil"/>
              <w:left w:val="nil"/>
              <w:bottom w:val="single" w:sz="4" w:space="0" w:color="auto"/>
              <w:right w:val="single" w:sz="4" w:space="0" w:color="auto"/>
            </w:tcBorders>
            <w:shd w:val="clear" w:color="auto" w:fill="auto"/>
            <w:noWrap/>
            <w:vAlign w:val="center"/>
            <w:hideMark/>
          </w:tcPr>
          <w:p w14:paraId="1A6A744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00FC707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86.042</w:t>
            </w:r>
          </w:p>
        </w:tc>
        <w:tc>
          <w:tcPr>
            <w:tcW w:w="1664" w:type="dxa"/>
            <w:tcBorders>
              <w:top w:val="nil"/>
              <w:left w:val="nil"/>
              <w:bottom w:val="single" w:sz="4" w:space="0" w:color="auto"/>
              <w:right w:val="single" w:sz="4" w:space="0" w:color="auto"/>
            </w:tcBorders>
            <w:shd w:val="clear" w:color="auto" w:fill="auto"/>
            <w:noWrap/>
            <w:vAlign w:val="center"/>
            <w:hideMark/>
          </w:tcPr>
          <w:p w14:paraId="6F72309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0ABEB14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20.633</w:t>
            </w:r>
          </w:p>
        </w:tc>
      </w:tr>
      <w:tr w:rsidR="00093F1C" w:rsidRPr="000F0A34" w14:paraId="42B7C7F3"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58DAF056"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Netherlands</w:t>
            </w:r>
          </w:p>
        </w:tc>
        <w:tc>
          <w:tcPr>
            <w:tcW w:w="1439" w:type="dxa"/>
            <w:tcBorders>
              <w:top w:val="nil"/>
              <w:left w:val="nil"/>
              <w:bottom w:val="single" w:sz="4" w:space="0" w:color="auto"/>
              <w:right w:val="single" w:sz="4" w:space="0" w:color="auto"/>
            </w:tcBorders>
            <w:shd w:val="clear" w:color="auto" w:fill="auto"/>
            <w:noWrap/>
            <w:vAlign w:val="center"/>
            <w:hideMark/>
          </w:tcPr>
          <w:p w14:paraId="1CD827A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2B761FD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8,957.964</w:t>
            </w:r>
          </w:p>
        </w:tc>
        <w:tc>
          <w:tcPr>
            <w:tcW w:w="1449" w:type="dxa"/>
            <w:tcBorders>
              <w:top w:val="nil"/>
              <w:left w:val="nil"/>
              <w:bottom w:val="single" w:sz="4" w:space="0" w:color="auto"/>
              <w:right w:val="single" w:sz="4" w:space="0" w:color="auto"/>
            </w:tcBorders>
            <w:shd w:val="clear" w:color="auto" w:fill="auto"/>
            <w:noWrap/>
            <w:vAlign w:val="center"/>
            <w:hideMark/>
          </w:tcPr>
          <w:p w14:paraId="6DAF48D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788AA85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5,173.501</w:t>
            </w:r>
          </w:p>
        </w:tc>
        <w:tc>
          <w:tcPr>
            <w:tcW w:w="1664" w:type="dxa"/>
            <w:tcBorders>
              <w:top w:val="nil"/>
              <w:left w:val="nil"/>
              <w:bottom w:val="single" w:sz="4" w:space="0" w:color="auto"/>
              <w:right w:val="single" w:sz="4" w:space="0" w:color="auto"/>
            </w:tcBorders>
            <w:shd w:val="clear" w:color="auto" w:fill="auto"/>
            <w:noWrap/>
            <w:vAlign w:val="center"/>
            <w:hideMark/>
          </w:tcPr>
          <w:p w14:paraId="7A67EC1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7FD8FEE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5,468.343</w:t>
            </w:r>
          </w:p>
        </w:tc>
      </w:tr>
      <w:tr w:rsidR="00093F1C" w:rsidRPr="000F0A34" w14:paraId="73725AB7"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1F7E7BA3"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Austria</w:t>
            </w:r>
          </w:p>
        </w:tc>
        <w:tc>
          <w:tcPr>
            <w:tcW w:w="1439" w:type="dxa"/>
            <w:tcBorders>
              <w:top w:val="nil"/>
              <w:left w:val="nil"/>
              <w:bottom w:val="single" w:sz="4" w:space="0" w:color="auto"/>
              <w:right w:val="single" w:sz="4" w:space="0" w:color="auto"/>
            </w:tcBorders>
            <w:shd w:val="clear" w:color="auto" w:fill="auto"/>
            <w:noWrap/>
            <w:vAlign w:val="center"/>
            <w:hideMark/>
          </w:tcPr>
          <w:p w14:paraId="57AE027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9A17C4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3,589.782</w:t>
            </w:r>
          </w:p>
        </w:tc>
        <w:tc>
          <w:tcPr>
            <w:tcW w:w="1449" w:type="dxa"/>
            <w:tcBorders>
              <w:top w:val="nil"/>
              <w:left w:val="nil"/>
              <w:bottom w:val="single" w:sz="4" w:space="0" w:color="auto"/>
              <w:right w:val="single" w:sz="4" w:space="0" w:color="auto"/>
            </w:tcBorders>
            <w:shd w:val="clear" w:color="auto" w:fill="auto"/>
            <w:noWrap/>
            <w:vAlign w:val="center"/>
            <w:hideMark/>
          </w:tcPr>
          <w:p w14:paraId="5328881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54FA3A0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7.130</w:t>
            </w:r>
          </w:p>
        </w:tc>
        <w:tc>
          <w:tcPr>
            <w:tcW w:w="1664" w:type="dxa"/>
            <w:tcBorders>
              <w:top w:val="nil"/>
              <w:left w:val="nil"/>
              <w:bottom w:val="single" w:sz="4" w:space="0" w:color="auto"/>
              <w:right w:val="single" w:sz="4" w:space="0" w:color="auto"/>
            </w:tcBorders>
            <w:shd w:val="clear" w:color="auto" w:fill="auto"/>
            <w:noWrap/>
            <w:vAlign w:val="center"/>
            <w:hideMark/>
          </w:tcPr>
          <w:p w14:paraId="1E908CD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2A78B2D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194.792</w:t>
            </w:r>
          </w:p>
        </w:tc>
      </w:tr>
      <w:tr w:rsidR="00093F1C" w:rsidRPr="000F0A34" w14:paraId="1C28FBD1"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050F128C"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Poland</w:t>
            </w:r>
          </w:p>
        </w:tc>
        <w:tc>
          <w:tcPr>
            <w:tcW w:w="1439" w:type="dxa"/>
            <w:tcBorders>
              <w:top w:val="nil"/>
              <w:left w:val="nil"/>
              <w:bottom w:val="single" w:sz="4" w:space="0" w:color="auto"/>
              <w:right w:val="single" w:sz="4" w:space="0" w:color="auto"/>
            </w:tcBorders>
            <w:shd w:val="clear" w:color="auto" w:fill="auto"/>
            <w:noWrap/>
            <w:vAlign w:val="center"/>
            <w:hideMark/>
          </w:tcPr>
          <w:p w14:paraId="15AA361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3DE8CB1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9,042.725</w:t>
            </w:r>
          </w:p>
        </w:tc>
        <w:tc>
          <w:tcPr>
            <w:tcW w:w="1449" w:type="dxa"/>
            <w:tcBorders>
              <w:top w:val="nil"/>
              <w:left w:val="nil"/>
              <w:bottom w:val="single" w:sz="4" w:space="0" w:color="auto"/>
              <w:right w:val="single" w:sz="4" w:space="0" w:color="auto"/>
            </w:tcBorders>
            <w:shd w:val="clear" w:color="auto" w:fill="auto"/>
            <w:noWrap/>
            <w:vAlign w:val="center"/>
            <w:hideMark/>
          </w:tcPr>
          <w:p w14:paraId="26C3416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2BB14B1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2,427.385</w:t>
            </w:r>
          </w:p>
        </w:tc>
        <w:tc>
          <w:tcPr>
            <w:tcW w:w="1664" w:type="dxa"/>
            <w:tcBorders>
              <w:top w:val="nil"/>
              <w:left w:val="nil"/>
              <w:bottom w:val="single" w:sz="4" w:space="0" w:color="auto"/>
              <w:right w:val="single" w:sz="4" w:space="0" w:color="auto"/>
            </w:tcBorders>
            <w:shd w:val="clear" w:color="auto" w:fill="auto"/>
            <w:noWrap/>
            <w:vAlign w:val="center"/>
            <w:hideMark/>
          </w:tcPr>
          <w:p w14:paraId="4B9B559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212ED18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700.282</w:t>
            </w:r>
          </w:p>
        </w:tc>
      </w:tr>
      <w:tr w:rsidR="00093F1C" w:rsidRPr="000F0A34" w14:paraId="1B2F6D09"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6B51373F"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Portugal</w:t>
            </w:r>
          </w:p>
        </w:tc>
        <w:tc>
          <w:tcPr>
            <w:tcW w:w="1439" w:type="dxa"/>
            <w:tcBorders>
              <w:top w:val="nil"/>
              <w:left w:val="nil"/>
              <w:bottom w:val="single" w:sz="4" w:space="0" w:color="auto"/>
              <w:right w:val="single" w:sz="4" w:space="0" w:color="auto"/>
            </w:tcBorders>
            <w:shd w:val="clear" w:color="auto" w:fill="auto"/>
            <w:noWrap/>
            <w:vAlign w:val="center"/>
            <w:hideMark/>
          </w:tcPr>
          <w:p w14:paraId="61ECA15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381.176</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DF57FC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5E350AC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763.759</w:t>
            </w:r>
          </w:p>
        </w:tc>
        <w:tc>
          <w:tcPr>
            <w:tcW w:w="1376" w:type="dxa"/>
            <w:tcBorders>
              <w:top w:val="nil"/>
              <w:left w:val="nil"/>
              <w:bottom w:val="single" w:sz="4" w:space="0" w:color="auto"/>
              <w:right w:val="single" w:sz="4" w:space="0" w:color="auto"/>
            </w:tcBorders>
            <w:shd w:val="clear" w:color="auto" w:fill="auto"/>
            <w:noWrap/>
            <w:vAlign w:val="center"/>
            <w:hideMark/>
          </w:tcPr>
          <w:p w14:paraId="33EC5C2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0D98EDF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1,501.322</w:t>
            </w:r>
          </w:p>
        </w:tc>
        <w:tc>
          <w:tcPr>
            <w:tcW w:w="1413" w:type="dxa"/>
            <w:tcBorders>
              <w:top w:val="nil"/>
              <w:left w:val="nil"/>
              <w:bottom w:val="single" w:sz="4" w:space="0" w:color="auto"/>
              <w:right w:val="single" w:sz="8" w:space="0" w:color="auto"/>
            </w:tcBorders>
            <w:shd w:val="clear" w:color="auto" w:fill="auto"/>
            <w:noWrap/>
            <w:vAlign w:val="center"/>
            <w:hideMark/>
          </w:tcPr>
          <w:p w14:paraId="3EECBD8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6DDA6446"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0576C452"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Romania</w:t>
            </w:r>
          </w:p>
        </w:tc>
        <w:tc>
          <w:tcPr>
            <w:tcW w:w="1439" w:type="dxa"/>
            <w:tcBorders>
              <w:top w:val="nil"/>
              <w:left w:val="nil"/>
              <w:bottom w:val="single" w:sz="4" w:space="0" w:color="auto"/>
              <w:right w:val="single" w:sz="4" w:space="0" w:color="auto"/>
            </w:tcBorders>
            <w:shd w:val="clear" w:color="auto" w:fill="auto"/>
            <w:noWrap/>
            <w:hideMark/>
          </w:tcPr>
          <w:p w14:paraId="7508830E" w14:textId="331CB39C"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hideMark/>
          </w:tcPr>
          <w:p w14:paraId="6298B72E" w14:textId="37C5C28E"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hideMark/>
          </w:tcPr>
          <w:p w14:paraId="17B84CBC" w14:textId="0D9E10A8"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hideMark/>
          </w:tcPr>
          <w:p w14:paraId="146486CA" w14:textId="697D835D"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6F93B99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1,808.929</w:t>
            </w:r>
          </w:p>
        </w:tc>
        <w:tc>
          <w:tcPr>
            <w:tcW w:w="1413" w:type="dxa"/>
            <w:tcBorders>
              <w:top w:val="nil"/>
              <w:left w:val="nil"/>
              <w:bottom w:val="single" w:sz="4" w:space="0" w:color="auto"/>
              <w:right w:val="single" w:sz="8" w:space="0" w:color="auto"/>
            </w:tcBorders>
            <w:shd w:val="clear" w:color="auto" w:fill="auto"/>
            <w:noWrap/>
            <w:vAlign w:val="center"/>
            <w:hideMark/>
          </w:tcPr>
          <w:p w14:paraId="1143B744" w14:textId="2A099401"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543E67DC"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6E45B096"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Slovenia</w:t>
            </w:r>
          </w:p>
        </w:tc>
        <w:tc>
          <w:tcPr>
            <w:tcW w:w="1439" w:type="dxa"/>
            <w:tcBorders>
              <w:top w:val="nil"/>
              <w:left w:val="nil"/>
              <w:bottom w:val="single" w:sz="4" w:space="0" w:color="auto"/>
              <w:right w:val="single" w:sz="4" w:space="0" w:color="auto"/>
            </w:tcBorders>
            <w:shd w:val="clear" w:color="auto" w:fill="auto"/>
            <w:noWrap/>
            <w:vAlign w:val="center"/>
            <w:hideMark/>
          </w:tcPr>
          <w:p w14:paraId="17F06E0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357.665</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7DB8C18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33E5357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262.779</w:t>
            </w:r>
          </w:p>
        </w:tc>
        <w:tc>
          <w:tcPr>
            <w:tcW w:w="1376" w:type="dxa"/>
            <w:tcBorders>
              <w:top w:val="nil"/>
              <w:left w:val="nil"/>
              <w:bottom w:val="single" w:sz="4" w:space="0" w:color="auto"/>
              <w:right w:val="single" w:sz="4" w:space="0" w:color="auto"/>
            </w:tcBorders>
            <w:shd w:val="clear" w:color="auto" w:fill="auto"/>
            <w:noWrap/>
            <w:vAlign w:val="center"/>
            <w:hideMark/>
          </w:tcPr>
          <w:p w14:paraId="7B4176A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19714BF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5.720</w:t>
            </w:r>
          </w:p>
        </w:tc>
        <w:tc>
          <w:tcPr>
            <w:tcW w:w="1413" w:type="dxa"/>
            <w:tcBorders>
              <w:top w:val="nil"/>
              <w:left w:val="nil"/>
              <w:bottom w:val="single" w:sz="4" w:space="0" w:color="auto"/>
              <w:right w:val="single" w:sz="8" w:space="0" w:color="auto"/>
            </w:tcBorders>
            <w:shd w:val="clear" w:color="auto" w:fill="auto"/>
            <w:noWrap/>
            <w:vAlign w:val="center"/>
            <w:hideMark/>
          </w:tcPr>
          <w:p w14:paraId="2A7B38C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486D6FFF"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792351E3"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Slovakia</w:t>
            </w:r>
          </w:p>
        </w:tc>
        <w:tc>
          <w:tcPr>
            <w:tcW w:w="1439" w:type="dxa"/>
            <w:tcBorders>
              <w:top w:val="nil"/>
              <w:left w:val="nil"/>
              <w:bottom w:val="single" w:sz="4" w:space="0" w:color="auto"/>
              <w:right w:val="single" w:sz="4" w:space="0" w:color="auto"/>
            </w:tcBorders>
            <w:shd w:val="clear" w:color="auto" w:fill="auto"/>
            <w:noWrap/>
            <w:vAlign w:val="center"/>
            <w:hideMark/>
          </w:tcPr>
          <w:p w14:paraId="161F1C9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2989CF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73CA1D2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2BCD12D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7558D2C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6B9B85E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3BB45BF"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296E6B92"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Finland</w:t>
            </w:r>
          </w:p>
        </w:tc>
        <w:tc>
          <w:tcPr>
            <w:tcW w:w="1439" w:type="dxa"/>
            <w:tcBorders>
              <w:top w:val="nil"/>
              <w:left w:val="nil"/>
              <w:bottom w:val="single" w:sz="4" w:space="0" w:color="auto"/>
              <w:right w:val="single" w:sz="4" w:space="0" w:color="auto"/>
            </w:tcBorders>
            <w:shd w:val="clear" w:color="auto" w:fill="auto"/>
            <w:noWrap/>
            <w:vAlign w:val="center"/>
            <w:hideMark/>
          </w:tcPr>
          <w:p w14:paraId="7CCC52E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594772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444.000</w:t>
            </w:r>
          </w:p>
        </w:tc>
        <w:tc>
          <w:tcPr>
            <w:tcW w:w="1449" w:type="dxa"/>
            <w:tcBorders>
              <w:top w:val="nil"/>
              <w:left w:val="nil"/>
              <w:bottom w:val="single" w:sz="4" w:space="0" w:color="auto"/>
              <w:right w:val="single" w:sz="4" w:space="0" w:color="auto"/>
            </w:tcBorders>
            <w:shd w:val="clear" w:color="auto" w:fill="auto"/>
            <w:noWrap/>
            <w:vAlign w:val="center"/>
            <w:hideMark/>
          </w:tcPr>
          <w:p w14:paraId="6BABDEE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3B93CFB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215.000</w:t>
            </w:r>
          </w:p>
        </w:tc>
        <w:tc>
          <w:tcPr>
            <w:tcW w:w="1664" w:type="dxa"/>
            <w:tcBorders>
              <w:top w:val="nil"/>
              <w:left w:val="nil"/>
              <w:bottom w:val="single" w:sz="4" w:space="0" w:color="auto"/>
              <w:right w:val="single" w:sz="4" w:space="0" w:color="auto"/>
            </w:tcBorders>
            <w:shd w:val="clear" w:color="auto" w:fill="auto"/>
            <w:noWrap/>
            <w:vAlign w:val="center"/>
            <w:hideMark/>
          </w:tcPr>
          <w:p w14:paraId="30945A2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4653464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5.000</w:t>
            </w:r>
          </w:p>
        </w:tc>
      </w:tr>
      <w:tr w:rsidR="00093F1C" w:rsidRPr="000F0A34" w14:paraId="758BD1B6"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426F55DA"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Sweden</w:t>
            </w:r>
          </w:p>
        </w:tc>
        <w:tc>
          <w:tcPr>
            <w:tcW w:w="1439" w:type="dxa"/>
            <w:tcBorders>
              <w:top w:val="nil"/>
              <w:left w:val="nil"/>
              <w:bottom w:val="single" w:sz="4" w:space="0" w:color="auto"/>
              <w:right w:val="single" w:sz="4" w:space="0" w:color="auto"/>
            </w:tcBorders>
            <w:shd w:val="clear" w:color="auto" w:fill="auto"/>
            <w:noWrap/>
            <w:vAlign w:val="center"/>
            <w:hideMark/>
          </w:tcPr>
          <w:p w14:paraId="6AC740F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1,640.000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79156F1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4654E0A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628.000</w:t>
            </w:r>
          </w:p>
        </w:tc>
        <w:tc>
          <w:tcPr>
            <w:tcW w:w="1376" w:type="dxa"/>
            <w:tcBorders>
              <w:top w:val="nil"/>
              <w:left w:val="nil"/>
              <w:bottom w:val="single" w:sz="4" w:space="0" w:color="auto"/>
              <w:right w:val="single" w:sz="4" w:space="0" w:color="auto"/>
            </w:tcBorders>
            <w:shd w:val="clear" w:color="auto" w:fill="auto"/>
            <w:noWrap/>
            <w:vAlign w:val="center"/>
            <w:hideMark/>
          </w:tcPr>
          <w:p w14:paraId="413AA81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024FD3F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120.000</w:t>
            </w:r>
          </w:p>
        </w:tc>
        <w:tc>
          <w:tcPr>
            <w:tcW w:w="1413" w:type="dxa"/>
            <w:tcBorders>
              <w:top w:val="nil"/>
              <w:left w:val="nil"/>
              <w:bottom w:val="single" w:sz="4" w:space="0" w:color="auto"/>
              <w:right w:val="single" w:sz="8" w:space="0" w:color="auto"/>
            </w:tcBorders>
            <w:shd w:val="clear" w:color="auto" w:fill="auto"/>
            <w:noWrap/>
            <w:vAlign w:val="center"/>
            <w:hideMark/>
          </w:tcPr>
          <w:p w14:paraId="4B82D75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2068D329"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0FF9314D"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Norway</w:t>
            </w:r>
          </w:p>
        </w:tc>
        <w:tc>
          <w:tcPr>
            <w:tcW w:w="1439" w:type="dxa"/>
            <w:tcBorders>
              <w:top w:val="nil"/>
              <w:left w:val="nil"/>
              <w:bottom w:val="single" w:sz="4" w:space="0" w:color="auto"/>
              <w:right w:val="single" w:sz="4" w:space="0" w:color="auto"/>
            </w:tcBorders>
            <w:shd w:val="clear" w:color="auto" w:fill="auto"/>
            <w:noWrap/>
            <w:vAlign w:val="center"/>
            <w:hideMark/>
          </w:tcPr>
          <w:p w14:paraId="21ACD6B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204.400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7EB67BA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204.400</w:t>
            </w:r>
          </w:p>
        </w:tc>
        <w:tc>
          <w:tcPr>
            <w:tcW w:w="1449" w:type="dxa"/>
            <w:tcBorders>
              <w:top w:val="nil"/>
              <w:left w:val="nil"/>
              <w:bottom w:val="single" w:sz="4" w:space="0" w:color="auto"/>
              <w:right w:val="single" w:sz="4" w:space="0" w:color="auto"/>
            </w:tcBorders>
            <w:shd w:val="clear" w:color="auto" w:fill="auto"/>
            <w:noWrap/>
            <w:vAlign w:val="center"/>
            <w:hideMark/>
          </w:tcPr>
          <w:p w14:paraId="39B3A17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117.420</w:t>
            </w:r>
          </w:p>
        </w:tc>
        <w:tc>
          <w:tcPr>
            <w:tcW w:w="1376" w:type="dxa"/>
            <w:tcBorders>
              <w:top w:val="nil"/>
              <w:left w:val="nil"/>
              <w:bottom w:val="single" w:sz="4" w:space="0" w:color="auto"/>
              <w:right w:val="single" w:sz="4" w:space="0" w:color="auto"/>
            </w:tcBorders>
            <w:shd w:val="clear" w:color="auto" w:fill="auto"/>
            <w:noWrap/>
            <w:vAlign w:val="center"/>
            <w:hideMark/>
          </w:tcPr>
          <w:p w14:paraId="3B45672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117.420</w:t>
            </w:r>
          </w:p>
        </w:tc>
        <w:tc>
          <w:tcPr>
            <w:tcW w:w="1664" w:type="dxa"/>
            <w:tcBorders>
              <w:top w:val="nil"/>
              <w:left w:val="nil"/>
              <w:bottom w:val="single" w:sz="4" w:space="0" w:color="auto"/>
              <w:right w:val="single" w:sz="4" w:space="0" w:color="auto"/>
            </w:tcBorders>
            <w:shd w:val="clear" w:color="auto" w:fill="auto"/>
            <w:noWrap/>
            <w:vAlign w:val="center"/>
            <w:hideMark/>
          </w:tcPr>
          <w:p w14:paraId="7093541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6.180</w:t>
            </w:r>
          </w:p>
        </w:tc>
        <w:tc>
          <w:tcPr>
            <w:tcW w:w="1413" w:type="dxa"/>
            <w:tcBorders>
              <w:top w:val="nil"/>
              <w:left w:val="nil"/>
              <w:bottom w:val="single" w:sz="4" w:space="0" w:color="auto"/>
              <w:right w:val="single" w:sz="8" w:space="0" w:color="auto"/>
            </w:tcBorders>
            <w:shd w:val="clear" w:color="auto" w:fill="auto"/>
            <w:noWrap/>
            <w:vAlign w:val="center"/>
            <w:hideMark/>
          </w:tcPr>
          <w:p w14:paraId="5F0D685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6.180</w:t>
            </w:r>
          </w:p>
        </w:tc>
      </w:tr>
      <w:tr w:rsidR="00093F1C" w:rsidRPr="000F0A34" w14:paraId="047AC176"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7079818A"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Montenegro</w:t>
            </w:r>
          </w:p>
        </w:tc>
        <w:tc>
          <w:tcPr>
            <w:tcW w:w="1439" w:type="dxa"/>
            <w:tcBorders>
              <w:top w:val="nil"/>
              <w:left w:val="nil"/>
              <w:bottom w:val="single" w:sz="4" w:space="0" w:color="auto"/>
              <w:right w:val="single" w:sz="4" w:space="0" w:color="auto"/>
            </w:tcBorders>
            <w:shd w:val="clear" w:color="auto" w:fill="auto"/>
            <w:noWrap/>
            <w:vAlign w:val="center"/>
            <w:hideMark/>
          </w:tcPr>
          <w:p w14:paraId="4303E63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2.870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07A35F5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218C54A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1F988DA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3A7EB9E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2AAE86E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3BA0152B"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745C8868"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Moldova</w:t>
            </w:r>
          </w:p>
        </w:tc>
        <w:tc>
          <w:tcPr>
            <w:tcW w:w="1439" w:type="dxa"/>
            <w:tcBorders>
              <w:top w:val="nil"/>
              <w:left w:val="nil"/>
              <w:bottom w:val="single" w:sz="4" w:space="0" w:color="auto"/>
              <w:right w:val="single" w:sz="4" w:space="0" w:color="auto"/>
            </w:tcBorders>
            <w:shd w:val="clear" w:color="auto" w:fill="auto"/>
            <w:noWrap/>
            <w:vAlign w:val="center"/>
            <w:hideMark/>
          </w:tcPr>
          <w:p w14:paraId="041540B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15.300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3E60E31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25F4695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48.200</w:t>
            </w:r>
          </w:p>
        </w:tc>
        <w:tc>
          <w:tcPr>
            <w:tcW w:w="1376" w:type="dxa"/>
            <w:tcBorders>
              <w:top w:val="nil"/>
              <w:left w:val="nil"/>
              <w:bottom w:val="single" w:sz="4" w:space="0" w:color="auto"/>
              <w:right w:val="single" w:sz="4" w:space="0" w:color="auto"/>
            </w:tcBorders>
            <w:shd w:val="clear" w:color="auto" w:fill="auto"/>
            <w:noWrap/>
            <w:vAlign w:val="center"/>
            <w:hideMark/>
          </w:tcPr>
          <w:p w14:paraId="2C7AA1E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77A1C63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143E787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01A7971"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0758E559"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North Macedonia</w:t>
            </w:r>
          </w:p>
        </w:tc>
        <w:tc>
          <w:tcPr>
            <w:tcW w:w="1439" w:type="dxa"/>
            <w:tcBorders>
              <w:top w:val="nil"/>
              <w:left w:val="nil"/>
              <w:bottom w:val="single" w:sz="4" w:space="0" w:color="auto"/>
              <w:right w:val="single" w:sz="4" w:space="0" w:color="auto"/>
            </w:tcBorders>
            <w:shd w:val="clear" w:color="auto" w:fill="auto"/>
            <w:noWrap/>
            <w:vAlign w:val="center"/>
            <w:hideMark/>
          </w:tcPr>
          <w:p w14:paraId="279646C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B26A8B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252385E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4" w:space="0" w:color="auto"/>
              <w:right w:val="single" w:sz="4" w:space="0" w:color="auto"/>
            </w:tcBorders>
            <w:shd w:val="clear" w:color="auto" w:fill="auto"/>
            <w:noWrap/>
            <w:vAlign w:val="center"/>
            <w:hideMark/>
          </w:tcPr>
          <w:p w14:paraId="5ED55180"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38A4802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4" w:space="0" w:color="auto"/>
              <w:right w:val="single" w:sz="8" w:space="0" w:color="auto"/>
            </w:tcBorders>
            <w:shd w:val="clear" w:color="auto" w:fill="auto"/>
            <w:noWrap/>
            <w:vAlign w:val="center"/>
            <w:hideMark/>
          </w:tcPr>
          <w:p w14:paraId="19D449A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5C1EC4D5"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12B19B80"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Albania</w:t>
            </w:r>
          </w:p>
        </w:tc>
        <w:tc>
          <w:tcPr>
            <w:tcW w:w="1439" w:type="dxa"/>
            <w:tcBorders>
              <w:top w:val="nil"/>
              <w:left w:val="nil"/>
              <w:bottom w:val="single" w:sz="4" w:space="0" w:color="auto"/>
              <w:right w:val="single" w:sz="4" w:space="0" w:color="auto"/>
            </w:tcBorders>
            <w:shd w:val="clear" w:color="auto" w:fill="auto"/>
            <w:noWrap/>
            <w:vAlign w:val="center"/>
            <w:hideMark/>
          </w:tcPr>
          <w:p w14:paraId="5B3F733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2C3373F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4CF4E86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60.000</w:t>
            </w:r>
          </w:p>
        </w:tc>
        <w:tc>
          <w:tcPr>
            <w:tcW w:w="1376" w:type="dxa"/>
            <w:tcBorders>
              <w:top w:val="nil"/>
              <w:left w:val="nil"/>
              <w:bottom w:val="single" w:sz="4" w:space="0" w:color="auto"/>
              <w:right w:val="single" w:sz="4" w:space="0" w:color="auto"/>
            </w:tcBorders>
            <w:shd w:val="clear" w:color="auto" w:fill="auto"/>
            <w:noWrap/>
            <w:vAlign w:val="center"/>
            <w:hideMark/>
          </w:tcPr>
          <w:p w14:paraId="6A83B1A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5943E48E"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28.140</w:t>
            </w:r>
          </w:p>
        </w:tc>
        <w:tc>
          <w:tcPr>
            <w:tcW w:w="1413" w:type="dxa"/>
            <w:tcBorders>
              <w:top w:val="nil"/>
              <w:left w:val="nil"/>
              <w:bottom w:val="single" w:sz="4" w:space="0" w:color="auto"/>
              <w:right w:val="single" w:sz="8" w:space="0" w:color="auto"/>
            </w:tcBorders>
            <w:shd w:val="clear" w:color="auto" w:fill="auto"/>
            <w:noWrap/>
            <w:vAlign w:val="center"/>
            <w:hideMark/>
          </w:tcPr>
          <w:p w14:paraId="1CA409F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7FD1C0A"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23720E80"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Serbia</w:t>
            </w:r>
          </w:p>
        </w:tc>
        <w:tc>
          <w:tcPr>
            <w:tcW w:w="1439" w:type="dxa"/>
            <w:tcBorders>
              <w:top w:val="nil"/>
              <w:left w:val="nil"/>
              <w:bottom w:val="single" w:sz="4" w:space="0" w:color="auto"/>
              <w:right w:val="single" w:sz="4" w:space="0" w:color="auto"/>
            </w:tcBorders>
            <w:shd w:val="clear" w:color="auto" w:fill="auto"/>
            <w:noWrap/>
            <w:vAlign w:val="center"/>
            <w:hideMark/>
          </w:tcPr>
          <w:p w14:paraId="43EBD34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7.989</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9153A36"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4E67074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12.548</w:t>
            </w:r>
          </w:p>
        </w:tc>
        <w:tc>
          <w:tcPr>
            <w:tcW w:w="1376" w:type="dxa"/>
            <w:tcBorders>
              <w:top w:val="nil"/>
              <w:left w:val="nil"/>
              <w:bottom w:val="single" w:sz="4" w:space="0" w:color="auto"/>
              <w:right w:val="single" w:sz="4" w:space="0" w:color="auto"/>
            </w:tcBorders>
            <w:shd w:val="clear" w:color="auto" w:fill="auto"/>
            <w:noWrap/>
            <w:vAlign w:val="center"/>
            <w:hideMark/>
          </w:tcPr>
          <w:p w14:paraId="618F0A9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4795BD2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1.900</w:t>
            </w:r>
          </w:p>
        </w:tc>
        <w:tc>
          <w:tcPr>
            <w:tcW w:w="1413" w:type="dxa"/>
            <w:tcBorders>
              <w:top w:val="nil"/>
              <w:left w:val="nil"/>
              <w:bottom w:val="single" w:sz="4" w:space="0" w:color="auto"/>
              <w:right w:val="single" w:sz="8" w:space="0" w:color="auto"/>
            </w:tcBorders>
            <w:shd w:val="clear" w:color="auto" w:fill="auto"/>
            <w:noWrap/>
            <w:vAlign w:val="center"/>
            <w:hideMark/>
          </w:tcPr>
          <w:p w14:paraId="5686AF3A"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74F98F0F"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1429688D"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Türkiye</w:t>
            </w:r>
          </w:p>
        </w:tc>
        <w:tc>
          <w:tcPr>
            <w:tcW w:w="1439" w:type="dxa"/>
            <w:tcBorders>
              <w:top w:val="nil"/>
              <w:left w:val="nil"/>
              <w:bottom w:val="single" w:sz="4" w:space="0" w:color="auto"/>
              <w:right w:val="single" w:sz="4" w:space="0" w:color="auto"/>
            </w:tcBorders>
            <w:shd w:val="clear" w:color="auto" w:fill="auto"/>
            <w:noWrap/>
            <w:vAlign w:val="center"/>
            <w:hideMark/>
          </w:tcPr>
          <w:p w14:paraId="60ED70B2"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10093934"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4CE43FE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5,480.941</w:t>
            </w:r>
          </w:p>
        </w:tc>
        <w:tc>
          <w:tcPr>
            <w:tcW w:w="1376" w:type="dxa"/>
            <w:tcBorders>
              <w:top w:val="nil"/>
              <w:left w:val="nil"/>
              <w:bottom w:val="single" w:sz="4" w:space="0" w:color="auto"/>
              <w:right w:val="single" w:sz="4" w:space="0" w:color="auto"/>
            </w:tcBorders>
            <w:shd w:val="clear" w:color="auto" w:fill="auto"/>
            <w:noWrap/>
            <w:vAlign w:val="center"/>
            <w:hideMark/>
          </w:tcPr>
          <w:p w14:paraId="6B73793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47FE5B6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3,944.499</w:t>
            </w:r>
          </w:p>
        </w:tc>
        <w:tc>
          <w:tcPr>
            <w:tcW w:w="1413" w:type="dxa"/>
            <w:tcBorders>
              <w:top w:val="nil"/>
              <w:left w:val="nil"/>
              <w:bottom w:val="single" w:sz="4" w:space="0" w:color="auto"/>
              <w:right w:val="single" w:sz="8" w:space="0" w:color="auto"/>
            </w:tcBorders>
            <w:shd w:val="clear" w:color="auto" w:fill="auto"/>
            <w:noWrap/>
            <w:vAlign w:val="center"/>
            <w:hideMark/>
          </w:tcPr>
          <w:p w14:paraId="0405FE4D"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447C27C1" w14:textId="77777777" w:rsidTr="00093F1C">
        <w:trPr>
          <w:trHeight w:val="290"/>
        </w:trPr>
        <w:tc>
          <w:tcPr>
            <w:tcW w:w="1276" w:type="dxa"/>
            <w:tcBorders>
              <w:top w:val="nil"/>
              <w:left w:val="single" w:sz="8" w:space="0" w:color="auto"/>
              <w:bottom w:val="single" w:sz="4" w:space="0" w:color="B0B0B0"/>
              <w:right w:val="single" w:sz="8" w:space="0" w:color="auto"/>
            </w:tcBorders>
            <w:shd w:val="clear" w:color="000000" w:fill="66FFFF"/>
            <w:noWrap/>
            <w:vAlign w:val="center"/>
            <w:hideMark/>
          </w:tcPr>
          <w:p w14:paraId="24F23068"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Kosovo*</w:t>
            </w:r>
          </w:p>
        </w:tc>
        <w:tc>
          <w:tcPr>
            <w:tcW w:w="1439" w:type="dxa"/>
            <w:tcBorders>
              <w:top w:val="nil"/>
              <w:left w:val="nil"/>
              <w:bottom w:val="single" w:sz="4" w:space="0" w:color="auto"/>
              <w:right w:val="single" w:sz="4" w:space="0" w:color="auto"/>
            </w:tcBorders>
            <w:shd w:val="clear" w:color="auto" w:fill="auto"/>
            <w:noWrap/>
            <w:vAlign w:val="center"/>
            <w:hideMark/>
          </w:tcPr>
          <w:p w14:paraId="6574B4AB"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4" w:space="0" w:color="auto"/>
              <w:right w:val="single" w:sz="4" w:space="0" w:color="auto"/>
            </w:tcBorders>
            <w:shd w:val="clear" w:color="auto" w:fill="auto"/>
            <w:noWrap/>
            <w:vAlign w:val="center"/>
            <w:hideMark/>
          </w:tcPr>
          <w:p w14:paraId="4943ED2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4" w:space="0" w:color="auto"/>
              <w:right w:val="single" w:sz="4" w:space="0" w:color="auto"/>
            </w:tcBorders>
            <w:shd w:val="clear" w:color="auto" w:fill="auto"/>
            <w:noWrap/>
            <w:vAlign w:val="center"/>
            <w:hideMark/>
          </w:tcPr>
          <w:p w14:paraId="4DEE7DC9"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5.031</w:t>
            </w:r>
          </w:p>
        </w:tc>
        <w:tc>
          <w:tcPr>
            <w:tcW w:w="1376" w:type="dxa"/>
            <w:tcBorders>
              <w:top w:val="nil"/>
              <w:left w:val="nil"/>
              <w:bottom w:val="single" w:sz="4" w:space="0" w:color="auto"/>
              <w:right w:val="single" w:sz="4" w:space="0" w:color="auto"/>
            </w:tcBorders>
            <w:shd w:val="clear" w:color="auto" w:fill="auto"/>
            <w:noWrap/>
            <w:vAlign w:val="center"/>
            <w:hideMark/>
          </w:tcPr>
          <w:p w14:paraId="515C68D3"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4" w:space="0" w:color="auto"/>
              <w:right w:val="single" w:sz="4" w:space="0" w:color="auto"/>
            </w:tcBorders>
            <w:shd w:val="clear" w:color="auto" w:fill="auto"/>
            <w:noWrap/>
            <w:vAlign w:val="center"/>
            <w:hideMark/>
          </w:tcPr>
          <w:p w14:paraId="612E5A9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9.000</w:t>
            </w:r>
          </w:p>
        </w:tc>
        <w:tc>
          <w:tcPr>
            <w:tcW w:w="1413" w:type="dxa"/>
            <w:tcBorders>
              <w:top w:val="nil"/>
              <w:left w:val="nil"/>
              <w:bottom w:val="single" w:sz="4" w:space="0" w:color="auto"/>
              <w:right w:val="single" w:sz="8" w:space="0" w:color="auto"/>
            </w:tcBorders>
            <w:shd w:val="clear" w:color="auto" w:fill="auto"/>
            <w:noWrap/>
            <w:vAlign w:val="center"/>
            <w:hideMark/>
          </w:tcPr>
          <w:p w14:paraId="4A554671"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r w:rsidR="00093F1C" w:rsidRPr="000F0A34" w14:paraId="008BFF1E" w14:textId="77777777" w:rsidTr="00093F1C">
        <w:trPr>
          <w:trHeight w:val="300"/>
        </w:trPr>
        <w:tc>
          <w:tcPr>
            <w:tcW w:w="1276" w:type="dxa"/>
            <w:tcBorders>
              <w:top w:val="nil"/>
              <w:left w:val="single" w:sz="8" w:space="0" w:color="auto"/>
              <w:bottom w:val="single" w:sz="8" w:space="0" w:color="auto"/>
              <w:right w:val="single" w:sz="8" w:space="0" w:color="auto"/>
            </w:tcBorders>
            <w:shd w:val="clear" w:color="000000" w:fill="66FFFF"/>
            <w:noWrap/>
            <w:vAlign w:val="center"/>
            <w:hideMark/>
          </w:tcPr>
          <w:p w14:paraId="6A0DF49F" w14:textId="77777777" w:rsidR="00093F1C" w:rsidRPr="000F0A34" w:rsidRDefault="00093F1C" w:rsidP="000F0A34">
            <w:pPr>
              <w:spacing w:before="0" w:after="0"/>
              <w:jc w:val="left"/>
              <w:rPr>
                <w:rFonts w:ascii="Arial" w:hAnsi="Arial" w:cs="Arial"/>
                <w:b/>
                <w:bCs/>
                <w:sz w:val="18"/>
                <w:szCs w:val="18"/>
                <w:lang w:eastAsia="en-GB"/>
              </w:rPr>
            </w:pPr>
            <w:r w:rsidRPr="000F0A34">
              <w:rPr>
                <w:rFonts w:ascii="Arial" w:hAnsi="Arial" w:cs="Arial"/>
                <w:b/>
                <w:bCs/>
                <w:sz w:val="18"/>
                <w:szCs w:val="18"/>
                <w:lang w:eastAsia="en-GB"/>
              </w:rPr>
              <w:t>Georgia</w:t>
            </w:r>
          </w:p>
        </w:tc>
        <w:tc>
          <w:tcPr>
            <w:tcW w:w="1439" w:type="dxa"/>
            <w:tcBorders>
              <w:top w:val="nil"/>
              <w:left w:val="nil"/>
              <w:bottom w:val="single" w:sz="8" w:space="0" w:color="auto"/>
              <w:right w:val="single" w:sz="4" w:space="0" w:color="auto"/>
            </w:tcBorders>
            <w:shd w:val="clear" w:color="auto" w:fill="auto"/>
            <w:noWrap/>
            <w:vAlign w:val="center"/>
            <w:hideMark/>
          </w:tcPr>
          <w:p w14:paraId="7768EA4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06" w:type="dxa"/>
            <w:gridSpan w:val="2"/>
            <w:tcBorders>
              <w:top w:val="nil"/>
              <w:left w:val="nil"/>
              <w:bottom w:val="single" w:sz="8" w:space="0" w:color="auto"/>
              <w:right w:val="single" w:sz="4" w:space="0" w:color="auto"/>
            </w:tcBorders>
            <w:shd w:val="clear" w:color="auto" w:fill="auto"/>
            <w:noWrap/>
            <w:vAlign w:val="center"/>
            <w:hideMark/>
          </w:tcPr>
          <w:p w14:paraId="0EF16AFC"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49" w:type="dxa"/>
            <w:tcBorders>
              <w:top w:val="nil"/>
              <w:left w:val="nil"/>
              <w:bottom w:val="single" w:sz="8" w:space="0" w:color="auto"/>
              <w:right w:val="single" w:sz="4" w:space="0" w:color="auto"/>
            </w:tcBorders>
            <w:shd w:val="clear" w:color="auto" w:fill="auto"/>
            <w:noWrap/>
            <w:vAlign w:val="center"/>
            <w:hideMark/>
          </w:tcPr>
          <w:p w14:paraId="5EA2054F"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376" w:type="dxa"/>
            <w:tcBorders>
              <w:top w:val="nil"/>
              <w:left w:val="nil"/>
              <w:bottom w:val="single" w:sz="8" w:space="0" w:color="auto"/>
              <w:right w:val="single" w:sz="4" w:space="0" w:color="auto"/>
            </w:tcBorders>
            <w:shd w:val="clear" w:color="auto" w:fill="auto"/>
            <w:noWrap/>
            <w:vAlign w:val="center"/>
            <w:hideMark/>
          </w:tcPr>
          <w:p w14:paraId="08B297A5"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664" w:type="dxa"/>
            <w:tcBorders>
              <w:top w:val="nil"/>
              <w:left w:val="nil"/>
              <w:bottom w:val="single" w:sz="8" w:space="0" w:color="auto"/>
              <w:right w:val="single" w:sz="4" w:space="0" w:color="auto"/>
            </w:tcBorders>
            <w:shd w:val="clear" w:color="auto" w:fill="auto"/>
            <w:noWrap/>
            <w:vAlign w:val="center"/>
            <w:hideMark/>
          </w:tcPr>
          <w:p w14:paraId="467056A7"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c>
          <w:tcPr>
            <w:tcW w:w="1413" w:type="dxa"/>
            <w:tcBorders>
              <w:top w:val="nil"/>
              <w:left w:val="nil"/>
              <w:bottom w:val="single" w:sz="8" w:space="0" w:color="auto"/>
              <w:right w:val="single" w:sz="8" w:space="0" w:color="auto"/>
            </w:tcBorders>
            <w:shd w:val="clear" w:color="auto" w:fill="auto"/>
            <w:noWrap/>
            <w:vAlign w:val="center"/>
            <w:hideMark/>
          </w:tcPr>
          <w:p w14:paraId="5EB929F8" w14:textId="77777777" w:rsidR="00093F1C" w:rsidRPr="000F0A34" w:rsidRDefault="00093F1C" w:rsidP="000F0A34">
            <w:pPr>
              <w:spacing w:before="0" w:after="0"/>
              <w:jc w:val="right"/>
              <w:rPr>
                <w:rFonts w:ascii="Arial" w:hAnsi="Arial" w:cs="Arial"/>
                <w:sz w:val="18"/>
                <w:szCs w:val="18"/>
                <w:lang w:eastAsia="en-GB"/>
              </w:rPr>
            </w:pPr>
            <w:r w:rsidRPr="000F0A34">
              <w:rPr>
                <w:rFonts w:ascii="Arial" w:hAnsi="Arial" w:cs="Arial"/>
                <w:sz w:val="18"/>
                <w:szCs w:val="18"/>
                <w:lang w:eastAsia="en-GB"/>
              </w:rPr>
              <w:t>0.000</w:t>
            </w:r>
          </w:p>
        </w:tc>
      </w:tr>
    </w:tbl>
    <w:p w14:paraId="139FC8EB" w14:textId="77777777" w:rsidR="000F0A34" w:rsidRDefault="000F0A34" w:rsidP="003E1966">
      <w:pPr>
        <w:spacing w:before="0" w:after="0"/>
        <w:jc w:val="left"/>
      </w:pPr>
    </w:p>
    <w:sectPr w:rsidR="000F0A34" w:rsidSect="00093F1C">
      <w:pgSz w:w="11906" w:h="16838" w:code="9"/>
      <w:pgMar w:top="1418" w:right="1134" w:bottom="1418"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2937E" w14:textId="77777777" w:rsidR="00D523E4" w:rsidRDefault="00D523E4" w:rsidP="00C30EC4">
      <w:pPr>
        <w:spacing w:before="0" w:after="0"/>
      </w:pPr>
      <w:r>
        <w:separator/>
      </w:r>
    </w:p>
    <w:p w14:paraId="3E5A834B" w14:textId="77777777" w:rsidR="00417F4C" w:rsidRDefault="00417F4C"/>
  </w:endnote>
  <w:endnote w:type="continuationSeparator" w:id="0">
    <w:p w14:paraId="27DB130A" w14:textId="77777777" w:rsidR="00D523E4" w:rsidRDefault="00D523E4" w:rsidP="00C30EC4">
      <w:pPr>
        <w:spacing w:before="0" w:after="0"/>
      </w:pPr>
      <w:r>
        <w:continuationSeparator/>
      </w:r>
    </w:p>
    <w:p w14:paraId="2644D5D1" w14:textId="77777777" w:rsidR="00417F4C" w:rsidRDefault="00417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6A48" w14:textId="77777777" w:rsidR="0050279C" w:rsidRDefault="00502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302723"/>
      <w:docPartObj>
        <w:docPartGallery w:val="Page Numbers (Bottom of Page)"/>
        <w:docPartUnique/>
      </w:docPartObj>
    </w:sdtPr>
    <w:sdtEndPr>
      <w:rPr>
        <w:noProof/>
      </w:rPr>
    </w:sdtEndPr>
    <w:sdtContent>
      <w:sdt>
        <w:sdtPr>
          <w:rPr>
            <w:rFonts w:cs="Arial"/>
            <w:i/>
            <w:color w:val="000000" w:themeColor="text1"/>
            <w:sz w:val="20"/>
            <w:szCs w:val="22"/>
          </w:rPr>
          <w:id w:val="1621107883"/>
          <w:docPartObj>
            <w:docPartGallery w:val="Page Numbers (Bottom of Page)"/>
            <w:docPartUnique/>
          </w:docPartObj>
        </w:sdtPr>
        <w:sdtEndPr>
          <w:rPr>
            <w:i w:val="0"/>
            <w:spacing w:val="60"/>
          </w:rPr>
        </w:sdtEndPr>
        <w:sdtContent>
          <w:p w14:paraId="01E5E271" w14:textId="3AE69EF6" w:rsidR="00D523E4" w:rsidRDefault="00D22385" w:rsidP="00D22385">
            <w:pPr>
              <w:pStyle w:val="Footer"/>
              <w:pBdr>
                <w:top w:val="single" w:sz="4" w:space="1" w:color="D9D9D9" w:themeColor="background1" w:themeShade="D9"/>
              </w:pBdr>
              <w:tabs>
                <w:tab w:val="clear" w:pos="9026"/>
                <w:tab w:val="right" w:pos="9639"/>
              </w:tabs>
            </w:pPr>
            <w:r w:rsidRPr="009A4A9E">
              <w:rPr>
                <w:rFonts w:cs="Arial"/>
                <w:i/>
                <w:color w:val="000000" w:themeColor="text1"/>
                <w:sz w:val="20"/>
                <w:szCs w:val="22"/>
              </w:rPr>
              <w:t xml:space="preserve">Energy Statistics Working Group </w:t>
            </w:r>
            <w:r>
              <w:rPr>
                <w:rFonts w:cs="Arial"/>
                <w:i/>
                <w:color w:val="000000" w:themeColor="text1"/>
                <w:sz w:val="20"/>
                <w:szCs w:val="22"/>
              </w:rPr>
              <w:t>– April 202</w:t>
            </w:r>
            <w:r w:rsidR="00FC4626">
              <w:rPr>
                <w:rFonts w:cs="Arial"/>
                <w:i/>
                <w:color w:val="000000" w:themeColor="text1"/>
                <w:sz w:val="20"/>
                <w:szCs w:val="22"/>
              </w:rPr>
              <w:t>4</w:t>
            </w:r>
            <w:r>
              <w:rPr>
                <w:rFonts w:cs="Arial"/>
                <w:i/>
                <w:color w:val="000000" w:themeColor="text1"/>
                <w:sz w:val="20"/>
                <w:szCs w:val="22"/>
              </w:rPr>
              <w:tab/>
            </w:r>
            <w:r w:rsidRPr="009A4A9E">
              <w:rPr>
                <w:rFonts w:cs="Arial"/>
                <w:i/>
                <w:color w:val="000000" w:themeColor="text1"/>
                <w:sz w:val="20"/>
                <w:szCs w:val="22"/>
              </w:rPr>
              <w:tab/>
            </w:r>
            <w:r w:rsidRPr="009A4A9E">
              <w:rPr>
                <w:rFonts w:cs="Arial"/>
                <w:color w:val="000000" w:themeColor="text1"/>
                <w:sz w:val="20"/>
                <w:szCs w:val="22"/>
              </w:rPr>
              <w:fldChar w:fldCharType="begin"/>
            </w:r>
            <w:r w:rsidRPr="009A4A9E">
              <w:rPr>
                <w:rFonts w:cs="Arial"/>
                <w:color w:val="000000" w:themeColor="text1"/>
                <w:sz w:val="20"/>
                <w:szCs w:val="22"/>
              </w:rPr>
              <w:instrText xml:space="preserve"> PAGE   \* MERGEFORMAT </w:instrText>
            </w:r>
            <w:r w:rsidRPr="009A4A9E">
              <w:rPr>
                <w:rFonts w:cs="Arial"/>
                <w:color w:val="000000" w:themeColor="text1"/>
                <w:sz w:val="20"/>
                <w:szCs w:val="22"/>
              </w:rPr>
              <w:fldChar w:fldCharType="separate"/>
            </w:r>
            <w:r w:rsidR="00D26BB2" w:rsidRPr="00D26BB2">
              <w:rPr>
                <w:rFonts w:cs="Arial"/>
                <w:bCs/>
                <w:noProof/>
                <w:color w:val="000000" w:themeColor="text1"/>
                <w:sz w:val="20"/>
                <w:szCs w:val="22"/>
              </w:rPr>
              <w:t>4</w:t>
            </w:r>
            <w:r w:rsidRPr="009A4A9E">
              <w:rPr>
                <w:rFonts w:cs="Arial"/>
                <w:bCs/>
                <w:noProof/>
                <w:color w:val="000000" w:themeColor="text1"/>
                <w:sz w:val="20"/>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026F2" w14:textId="77777777" w:rsidR="0050279C" w:rsidRDefault="00502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0D781" w14:textId="77777777" w:rsidR="00D523E4" w:rsidRDefault="00D523E4" w:rsidP="00C30EC4">
      <w:pPr>
        <w:spacing w:before="0" w:after="0"/>
      </w:pPr>
      <w:r>
        <w:separator/>
      </w:r>
    </w:p>
    <w:p w14:paraId="45A9A776" w14:textId="77777777" w:rsidR="00417F4C" w:rsidRDefault="00417F4C"/>
  </w:footnote>
  <w:footnote w:type="continuationSeparator" w:id="0">
    <w:p w14:paraId="7E17CB67" w14:textId="77777777" w:rsidR="00D523E4" w:rsidRDefault="00D523E4" w:rsidP="00C30EC4">
      <w:pPr>
        <w:spacing w:before="0" w:after="0"/>
      </w:pPr>
      <w:r>
        <w:continuationSeparator/>
      </w:r>
    </w:p>
    <w:p w14:paraId="3C3CD3C2" w14:textId="77777777" w:rsidR="00417F4C" w:rsidRDefault="00417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B9F9" w14:textId="77777777" w:rsidR="0050279C" w:rsidRDefault="00502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2B4B" w14:textId="77777777" w:rsidR="0050279C" w:rsidRDefault="00502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931E" w14:textId="77777777" w:rsidR="0050279C" w:rsidRDefault="00502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24F9D"/>
    <w:multiLevelType w:val="hybridMultilevel"/>
    <w:tmpl w:val="F81E2420"/>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9F6929"/>
    <w:multiLevelType w:val="multilevel"/>
    <w:tmpl w:val="1220B44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30212B05"/>
    <w:multiLevelType w:val="hybridMultilevel"/>
    <w:tmpl w:val="29B8BDD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E63C9B"/>
    <w:multiLevelType w:val="hybridMultilevel"/>
    <w:tmpl w:val="6AD017DE"/>
    <w:lvl w:ilvl="0" w:tplc="E95896CA">
      <w:start w:val="1"/>
      <w:numFmt w:val="bullet"/>
      <w:lvlText w:val=""/>
      <w:lvlJc w:val="left"/>
      <w:pPr>
        <w:ind w:left="720" w:hanging="360"/>
      </w:pPr>
      <w:rPr>
        <w:rFonts w:ascii="Symbol" w:hAnsi="Symbol" w:hint="default"/>
      </w:rPr>
    </w:lvl>
    <w:lvl w:ilvl="1" w:tplc="49EC4720">
      <w:start w:val="1"/>
      <w:numFmt w:val="bullet"/>
      <w:lvlText w:val="o"/>
      <w:lvlJc w:val="left"/>
      <w:pPr>
        <w:ind w:left="1440" w:hanging="360"/>
      </w:pPr>
      <w:rPr>
        <w:rFonts w:ascii="Courier New" w:hAnsi="Courier New" w:hint="default"/>
      </w:rPr>
    </w:lvl>
    <w:lvl w:ilvl="2" w:tplc="04406524">
      <w:start w:val="1"/>
      <w:numFmt w:val="bullet"/>
      <w:lvlText w:val=""/>
      <w:lvlJc w:val="left"/>
      <w:pPr>
        <w:ind w:left="2160" w:hanging="360"/>
      </w:pPr>
      <w:rPr>
        <w:rFonts w:ascii="Wingdings" w:hAnsi="Wingdings" w:hint="default"/>
      </w:rPr>
    </w:lvl>
    <w:lvl w:ilvl="3" w:tplc="91EA24CA">
      <w:start w:val="1"/>
      <w:numFmt w:val="bullet"/>
      <w:lvlText w:val=""/>
      <w:lvlJc w:val="left"/>
      <w:pPr>
        <w:ind w:left="2880" w:hanging="360"/>
      </w:pPr>
      <w:rPr>
        <w:rFonts w:ascii="Symbol" w:hAnsi="Symbol" w:hint="default"/>
      </w:rPr>
    </w:lvl>
    <w:lvl w:ilvl="4" w:tplc="D27C6F94">
      <w:start w:val="1"/>
      <w:numFmt w:val="bullet"/>
      <w:lvlText w:val="o"/>
      <w:lvlJc w:val="left"/>
      <w:pPr>
        <w:ind w:left="3600" w:hanging="360"/>
      </w:pPr>
      <w:rPr>
        <w:rFonts w:ascii="Courier New" w:hAnsi="Courier New" w:hint="default"/>
      </w:rPr>
    </w:lvl>
    <w:lvl w:ilvl="5" w:tplc="F5986282">
      <w:start w:val="1"/>
      <w:numFmt w:val="bullet"/>
      <w:lvlText w:val=""/>
      <w:lvlJc w:val="left"/>
      <w:pPr>
        <w:ind w:left="4320" w:hanging="360"/>
      </w:pPr>
      <w:rPr>
        <w:rFonts w:ascii="Wingdings" w:hAnsi="Wingdings" w:hint="default"/>
      </w:rPr>
    </w:lvl>
    <w:lvl w:ilvl="6" w:tplc="6F34986E">
      <w:start w:val="1"/>
      <w:numFmt w:val="bullet"/>
      <w:lvlText w:val=""/>
      <w:lvlJc w:val="left"/>
      <w:pPr>
        <w:ind w:left="5040" w:hanging="360"/>
      </w:pPr>
      <w:rPr>
        <w:rFonts w:ascii="Symbol" w:hAnsi="Symbol" w:hint="default"/>
      </w:rPr>
    </w:lvl>
    <w:lvl w:ilvl="7" w:tplc="3AD42FCA">
      <w:start w:val="1"/>
      <w:numFmt w:val="bullet"/>
      <w:lvlText w:val="o"/>
      <w:lvlJc w:val="left"/>
      <w:pPr>
        <w:ind w:left="5760" w:hanging="360"/>
      </w:pPr>
      <w:rPr>
        <w:rFonts w:ascii="Courier New" w:hAnsi="Courier New" w:hint="default"/>
      </w:rPr>
    </w:lvl>
    <w:lvl w:ilvl="8" w:tplc="DAAECC5C">
      <w:start w:val="1"/>
      <w:numFmt w:val="bullet"/>
      <w:lvlText w:val=""/>
      <w:lvlJc w:val="left"/>
      <w:pPr>
        <w:ind w:left="6480" w:hanging="360"/>
      </w:pPr>
      <w:rPr>
        <w:rFonts w:ascii="Wingdings" w:hAnsi="Wingdings" w:hint="default"/>
      </w:rPr>
    </w:lvl>
  </w:abstractNum>
  <w:abstractNum w:abstractNumId="4" w15:restartNumberingAfterBreak="0">
    <w:nsid w:val="44CA2E70"/>
    <w:multiLevelType w:val="hybridMultilevel"/>
    <w:tmpl w:val="69D20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BD14BB"/>
    <w:multiLevelType w:val="hybridMultilevel"/>
    <w:tmpl w:val="14209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953E00"/>
    <w:multiLevelType w:val="multilevel"/>
    <w:tmpl w:val="34260EDA"/>
    <w:lvl w:ilvl="0">
      <w:start w:val="1"/>
      <w:numFmt w:val="decimal"/>
      <w:lvlText w:val="%1."/>
      <w:lvlJc w:val="left"/>
      <w:pPr>
        <w:ind w:left="717" w:hanging="360"/>
      </w:pPr>
      <w:rPr>
        <w:rFonts w:ascii="Times New Roman" w:hAnsi="Times New Roman" w:cs="Times New Roman" w:hint="default"/>
        <w:b/>
        <w:i w:val="0"/>
        <w:sz w:val="32"/>
      </w:rPr>
    </w:lvl>
    <w:lvl w:ilvl="1">
      <w:start w:val="1"/>
      <w:numFmt w:val="decimal"/>
      <w:isLgl/>
      <w:lvlText w:val="%1.%2."/>
      <w:lvlJc w:val="left"/>
      <w:pPr>
        <w:ind w:left="717" w:hanging="360"/>
      </w:pPr>
      <w:rPr>
        <w:rFonts w:hint="default"/>
        <w:b/>
      </w:rPr>
    </w:lvl>
    <w:lvl w:ilvl="2">
      <w:start w:val="1"/>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1797" w:hanging="1440"/>
      </w:pPr>
      <w:rPr>
        <w:rFonts w:hint="default"/>
      </w:rPr>
    </w:lvl>
    <w:lvl w:ilvl="8">
      <w:start w:val="1"/>
      <w:numFmt w:val="decimal"/>
      <w:isLgl/>
      <w:lvlText w:val="%1.%2.%3.%4.%5.%6.%7.%8.%9."/>
      <w:lvlJc w:val="left"/>
      <w:pPr>
        <w:ind w:left="2157" w:hanging="1800"/>
      </w:pPr>
      <w:rPr>
        <w:rFonts w:hint="default"/>
      </w:rPr>
    </w:lvl>
  </w:abstractNum>
  <w:abstractNum w:abstractNumId="7" w15:restartNumberingAfterBreak="0">
    <w:nsid w:val="57DD71BF"/>
    <w:multiLevelType w:val="hybridMultilevel"/>
    <w:tmpl w:val="19B0FF24"/>
    <w:lvl w:ilvl="0" w:tplc="479CA2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CE1A5F"/>
    <w:multiLevelType w:val="hybridMultilevel"/>
    <w:tmpl w:val="C248B9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78A73B8"/>
    <w:multiLevelType w:val="hybridMultilevel"/>
    <w:tmpl w:val="4204119E"/>
    <w:lvl w:ilvl="0" w:tplc="1668D552">
      <w:start w:val="1"/>
      <w:numFmt w:val="bullet"/>
      <w:lvlText w:val=""/>
      <w:lvlJc w:val="left"/>
      <w:pPr>
        <w:ind w:left="720" w:hanging="360"/>
      </w:pPr>
      <w:rPr>
        <w:rFonts w:ascii="Symbol" w:hAnsi="Symbol" w:hint="default"/>
      </w:rPr>
    </w:lvl>
    <w:lvl w:ilvl="1" w:tplc="4A9C95BA">
      <w:start w:val="1"/>
      <w:numFmt w:val="bullet"/>
      <w:lvlText w:val="o"/>
      <w:lvlJc w:val="left"/>
      <w:pPr>
        <w:ind w:left="1440" w:hanging="360"/>
      </w:pPr>
      <w:rPr>
        <w:rFonts w:ascii="Courier New" w:hAnsi="Courier New" w:hint="default"/>
      </w:rPr>
    </w:lvl>
    <w:lvl w:ilvl="2" w:tplc="A3709F74">
      <w:start w:val="1"/>
      <w:numFmt w:val="bullet"/>
      <w:lvlText w:val=""/>
      <w:lvlJc w:val="left"/>
      <w:pPr>
        <w:ind w:left="2160" w:hanging="360"/>
      </w:pPr>
      <w:rPr>
        <w:rFonts w:ascii="Wingdings" w:hAnsi="Wingdings" w:hint="default"/>
      </w:rPr>
    </w:lvl>
    <w:lvl w:ilvl="3" w:tplc="BF489EC4">
      <w:start w:val="1"/>
      <w:numFmt w:val="bullet"/>
      <w:lvlText w:val=""/>
      <w:lvlJc w:val="left"/>
      <w:pPr>
        <w:ind w:left="2880" w:hanging="360"/>
      </w:pPr>
      <w:rPr>
        <w:rFonts w:ascii="Symbol" w:hAnsi="Symbol" w:hint="default"/>
      </w:rPr>
    </w:lvl>
    <w:lvl w:ilvl="4" w:tplc="4A4009EC">
      <w:start w:val="1"/>
      <w:numFmt w:val="bullet"/>
      <w:lvlText w:val="o"/>
      <w:lvlJc w:val="left"/>
      <w:pPr>
        <w:ind w:left="3600" w:hanging="360"/>
      </w:pPr>
      <w:rPr>
        <w:rFonts w:ascii="Courier New" w:hAnsi="Courier New" w:hint="default"/>
      </w:rPr>
    </w:lvl>
    <w:lvl w:ilvl="5" w:tplc="ED5EE6AE">
      <w:start w:val="1"/>
      <w:numFmt w:val="bullet"/>
      <w:lvlText w:val=""/>
      <w:lvlJc w:val="left"/>
      <w:pPr>
        <w:ind w:left="4320" w:hanging="360"/>
      </w:pPr>
      <w:rPr>
        <w:rFonts w:ascii="Wingdings" w:hAnsi="Wingdings" w:hint="default"/>
      </w:rPr>
    </w:lvl>
    <w:lvl w:ilvl="6" w:tplc="4386BDBC">
      <w:start w:val="1"/>
      <w:numFmt w:val="bullet"/>
      <w:lvlText w:val=""/>
      <w:lvlJc w:val="left"/>
      <w:pPr>
        <w:ind w:left="5040" w:hanging="360"/>
      </w:pPr>
      <w:rPr>
        <w:rFonts w:ascii="Symbol" w:hAnsi="Symbol" w:hint="default"/>
      </w:rPr>
    </w:lvl>
    <w:lvl w:ilvl="7" w:tplc="7C6834AA">
      <w:start w:val="1"/>
      <w:numFmt w:val="bullet"/>
      <w:lvlText w:val="o"/>
      <w:lvlJc w:val="left"/>
      <w:pPr>
        <w:ind w:left="5760" w:hanging="360"/>
      </w:pPr>
      <w:rPr>
        <w:rFonts w:ascii="Courier New" w:hAnsi="Courier New" w:hint="default"/>
      </w:rPr>
    </w:lvl>
    <w:lvl w:ilvl="8" w:tplc="B0E27A4E">
      <w:start w:val="1"/>
      <w:numFmt w:val="bullet"/>
      <w:lvlText w:val=""/>
      <w:lvlJc w:val="left"/>
      <w:pPr>
        <w:ind w:left="6480" w:hanging="360"/>
      </w:pPr>
      <w:rPr>
        <w:rFonts w:ascii="Wingdings" w:hAnsi="Wingdings" w:hint="default"/>
      </w:rPr>
    </w:lvl>
  </w:abstractNum>
  <w:abstractNum w:abstractNumId="10" w15:restartNumberingAfterBreak="0">
    <w:nsid w:val="6C87467A"/>
    <w:multiLevelType w:val="hybridMultilevel"/>
    <w:tmpl w:val="381611D4"/>
    <w:lvl w:ilvl="0" w:tplc="3C3413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FE0690"/>
    <w:multiLevelType w:val="hybridMultilevel"/>
    <w:tmpl w:val="F5D6AEF0"/>
    <w:lvl w:ilvl="0" w:tplc="479CA22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847F6F"/>
    <w:multiLevelType w:val="hybridMultilevel"/>
    <w:tmpl w:val="D548E4B2"/>
    <w:lvl w:ilvl="0" w:tplc="7F3EFE3C">
      <w:start w:val="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6ECD0B71"/>
    <w:multiLevelType w:val="hybridMultilevel"/>
    <w:tmpl w:val="1F1CC0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108648884">
    <w:abstractNumId w:val="2"/>
  </w:num>
  <w:num w:numId="2" w16cid:durableId="1580484361">
    <w:abstractNumId w:val="13"/>
  </w:num>
  <w:num w:numId="3" w16cid:durableId="1158034807">
    <w:abstractNumId w:val="6"/>
  </w:num>
  <w:num w:numId="4" w16cid:durableId="2083402802">
    <w:abstractNumId w:val="14"/>
    <w:lvlOverride w:ilvl="0">
      <w:startOverride w:val="1"/>
    </w:lvlOverride>
  </w:num>
  <w:num w:numId="5" w16cid:durableId="1528178978">
    <w:abstractNumId w:val="11"/>
  </w:num>
  <w:num w:numId="6" w16cid:durableId="1029062979">
    <w:abstractNumId w:val="9"/>
  </w:num>
  <w:num w:numId="7" w16cid:durableId="72163974">
    <w:abstractNumId w:val="3"/>
  </w:num>
  <w:num w:numId="8" w16cid:durableId="1223981165">
    <w:abstractNumId w:val="7"/>
  </w:num>
  <w:num w:numId="9" w16cid:durableId="1548487805">
    <w:abstractNumId w:val="0"/>
  </w:num>
  <w:num w:numId="10" w16cid:durableId="1467237144">
    <w:abstractNumId w:val="12"/>
  </w:num>
  <w:num w:numId="11" w16cid:durableId="217983111">
    <w:abstractNumId w:val="10"/>
  </w:num>
  <w:num w:numId="12" w16cid:durableId="975179867">
    <w:abstractNumId w:val="1"/>
  </w:num>
  <w:num w:numId="13" w16cid:durableId="2031107025">
    <w:abstractNumId w:val="8"/>
  </w:num>
  <w:num w:numId="14" w16cid:durableId="1926382741">
    <w:abstractNumId w:val="4"/>
  </w:num>
  <w:num w:numId="15" w16cid:durableId="1813525224">
    <w:abstractNumId w:val="1"/>
  </w:num>
  <w:num w:numId="16" w16cid:durableId="2125690181">
    <w:abstractNumId w:val="1"/>
  </w:num>
  <w:num w:numId="17" w16cid:durableId="8746596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172130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B51BC9"/>
    <w:rsid w:val="000133C8"/>
    <w:rsid w:val="0002566A"/>
    <w:rsid w:val="0003496D"/>
    <w:rsid w:val="000402A7"/>
    <w:rsid w:val="000929C9"/>
    <w:rsid w:val="00093F1C"/>
    <w:rsid w:val="000A3307"/>
    <w:rsid w:val="000C1B2A"/>
    <w:rsid w:val="000C1F97"/>
    <w:rsid w:val="000D08F9"/>
    <w:rsid w:val="000D59CC"/>
    <w:rsid w:val="000F0A34"/>
    <w:rsid w:val="00114F81"/>
    <w:rsid w:val="001252E4"/>
    <w:rsid w:val="001405D2"/>
    <w:rsid w:val="00146CB1"/>
    <w:rsid w:val="00150973"/>
    <w:rsid w:val="00176113"/>
    <w:rsid w:val="0018078D"/>
    <w:rsid w:val="00181210"/>
    <w:rsid w:val="001923D7"/>
    <w:rsid w:val="001B0E56"/>
    <w:rsid w:val="001B6142"/>
    <w:rsid w:val="001C511D"/>
    <w:rsid w:val="001D16D2"/>
    <w:rsid w:val="001D697C"/>
    <w:rsid w:val="001E23D9"/>
    <w:rsid w:val="001F522B"/>
    <w:rsid w:val="001F7138"/>
    <w:rsid w:val="00205243"/>
    <w:rsid w:val="00210AD6"/>
    <w:rsid w:val="00212F19"/>
    <w:rsid w:val="00223B6B"/>
    <w:rsid w:val="00224481"/>
    <w:rsid w:val="00244BDC"/>
    <w:rsid w:val="00244FCF"/>
    <w:rsid w:val="002505FD"/>
    <w:rsid w:val="00273CBC"/>
    <w:rsid w:val="00277965"/>
    <w:rsid w:val="0028449C"/>
    <w:rsid w:val="0029314F"/>
    <w:rsid w:val="00294BB5"/>
    <w:rsid w:val="002A2537"/>
    <w:rsid w:val="002A7010"/>
    <w:rsid w:val="002C630E"/>
    <w:rsid w:val="002C7BBA"/>
    <w:rsid w:val="002D2778"/>
    <w:rsid w:val="003000CA"/>
    <w:rsid w:val="00321064"/>
    <w:rsid w:val="003461CD"/>
    <w:rsid w:val="00352EEF"/>
    <w:rsid w:val="00360BE8"/>
    <w:rsid w:val="00391DBE"/>
    <w:rsid w:val="00395071"/>
    <w:rsid w:val="003A1AB3"/>
    <w:rsid w:val="003C141A"/>
    <w:rsid w:val="003C5790"/>
    <w:rsid w:val="003E1966"/>
    <w:rsid w:val="003F2C07"/>
    <w:rsid w:val="0040228A"/>
    <w:rsid w:val="00417F4C"/>
    <w:rsid w:val="004265D6"/>
    <w:rsid w:val="00431B0E"/>
    <w:rsid w:val="00441600"/>
    <w:rsid w:val="00442D7D"/>
    <w:rsid w:val="004446AA"/>
    <w:rsid w:val="004475D0"/>
    <w:rsid w:val="0047715F"/>
    <w:rsid w:val="004A042E"/>
    <w:rsid w:val="004B1729"/>
    <w:rsid w:val="004B29B4"/>
    <w:rsid w:val="004B4C52"/>
    <w:rsid w:val="004C2839"/>
    <w:rsid w:val="004D6079"/>
    <w:rsid w:val="004D6EF7"/>
    <w:rsid w:val="004E4D31"/>
    <w:rsid w:val="004E5E3A"/>
    <w:rsid w:val="0050279C"/>
    <w:rsid w:val="005253BB"/>
    <w:rsid w:val="00530207"/>
    <w:rsid w:val="00532E09"/>
    <w:rsid w:val="005366A1"/>
    <w:rsid w:val="005416CA"/>
    <w:rsid w:val="005446A5"/>
    <w:rsid w:val="005457F3"/>
    <w:rsid w:val="00552192"/>
    <w:rsid w:val="00554577"/>
    <w:rsid w:val="00580A16"/>
    <w:rsid w:val="00595178"/>
    <w:rsid w:val="00597DBA"/>
    <w:rsid w:val="005A2FE5"/>
    <w:rsid w:val="005C7AC2"/>
    <w:rsid w:val="005F1F31"/>
    <w:rsid w:val="0060586E"/>
    <w:rsid w:val="006311E7"/>
    <w:rsid w:val="00632CAA"/>
    <w:rsid w:val="00643755"/>
    <w:rsid w:val="00656631"/>
    <w:rsid w:val="00672C98"/>
    <w:rsid w:val="00672EE3"/>
    <w:rsid w:val="00682FE2"/>
    <w:rsid w:val="00694A6E"/>
    <w:rsid w:val="006A1686"/>
    <w:rsid w:val="006A5CA7"/>
    <w:rsid w:val="006B5C1D"/>
    <w:rsid w:val="006D5ADB"/>
    <w:rsid w:val="006E4F73"/>
    <w:rsid w:val="00703E9B"/>
    <w:rsid w:val="007102ED"/>
    <w:rsid w:val="0071196C"/>
    <w:rsid w:val="00711EA8"/>
    <w:rsid w:val="00764AB9"/>
    <w:rsid w:val="00777EFD"/>
    <w:rsid w:val="00780E3B"/>
    <w:rsid w:val="0078622C"/>
    <w:rsid w:val="007A470B"/>
    <w:rsid w:val="007B17EB"/>
    <w:rsid w:val="007C017C"/>
    <w:rsid w:val="007C11DC"/>
    <w:rsid w:val="007C507F"/>
    <w:rsid w:val="007E04BE"/>
    <w:rsid w:val="0081655F"/>
    <w:rsid w:val="008260C8"/>
    <w:rsid w:val="00836BA9"/>
    <w:rsid w:val="0084313E"/>
    <w:rsid w:val="008536E6"/>
    <w:rsid w:val="008578EF"/>
    <w:rsid w:val="00860B04"/>
    <w:rsid w:val="0086549E"/>
    <w:rsid w:val="00884511"/>
    <w:rsid w:val="00895E5E"/>
    <w:rsid w:val="00897523"/>
    <w:rsid w:val="008A340C"/>
    <w:rsid w:val="008A72B0"/>
    <w:rsid w:val="008C414F"/>
    <w:rsid w:val="008E22D2"/>
    <w:rsid w:val="008F4C81"/>
    <w:rsid w:val="009001BA"/>
    <w:rsid w:val="00910835"/>
    <w:rsid w:val="00910A36"/>
    <w:rsid w:val="009159EF"/>
    <w:rsid w:val="0093707F"/>
    <w:rsid w:val="00964FFD"/>
    <w:rsid w:val="009750D7"/>
    <w:rsid w:val="0097566A"/>
    <w:rsid w:val="009769AC"/>
    <w:rsid w:val="009909F5"/>
    <w:rsid w:val="00991906"/>
    <w:rsid w:val="00995A1D"/>
    <w:rsid w:val="009A1069"/>
    <w:rsid w:val="009A58B3"/>
    <w:rsid w:val="00A005DF"/>
    <w:rsid w:val="00A00B5C"/>
    <w:rsid w:val="00A508AD"/>
    <w:rsid w:val="00A6332B"/>
    <w:rsid w:val="00A85C76"/>
    <w:rsid w:val="00A86EE6"/>
    <w:rsid w:val="00A9743D"/>
    <w:rsid w:val="00AC36C9"/>
    <w:rsid w:val="00AD5D37"/>
    <w:rsid w:val="00AF4E52"/>
    <w:rsid w:val="00B11594"/>
    <w:rsid w:val="00B17ABB"/>
    <w:rsid w:val="00B51BC9"/>
    <w:rsid w:val="00B63AAE"/>
    <w:rsid w:val="00B720DA"/>
    <w:rsid w:val="00B8046D"/>
    <w:rsid w:val="00B906A1"/>
    <w:rsid w:val="00B92B35"/>
    <w:rsid w:val="00BA1200"/>
    <w:rsid w:val="00BB4263"/>
    <w:rsid w:val="00BB7714"/>
    <w:rsid w:val="00BC7270"/>
    <w:rsid w:val="00BE3881"/>
    <w:rsid w:val="00BE6E8E"/>
    <w:rsid w:val="00BF2A08"/>
    <w:rsid w:val="00C008E5"/>
    <w:rsid w:val="00C01802"/>
    <w:rsid w:val="00C30EC4"/>
    <w:rsid w:val="00C57614"/>
    <w:rsid w:val="00C62906"/>
    <w:rsid w:val="00C827FB"/>
    <w:rsid w:val="00C82E69"/>
    <w:rsid w:val="00C863ED"/>
    <w:rsid w:val="00C974B3"/>
    <w:rsid w:val="00CA17C1"/>
    <w:rsid w:val="00CB1841"/>
    <w:rsid w:val="00CB1F9A"/>
    <w:rsid w:val="00CB51EF"/>
    <w:rsid w:val="00CD6D52"/>
    <w:rsid w:val="00CE1E14"/>
    <w:rsid w:val="00D22385"/>
    <w:rsid w:val="00D26BB2"/>
    <w:rsid w:val="00D32D83"/>
    <w:rsid w:val="00D35D0F"/>
    <w:rsid w:val="00D523E4"/>
    <w:rsid w:val="00D54859"/>
    <w:rsid w:val="00D553A6"/>
    <w:rsid w:val="00D56471"/>
    <w:rsid w:val="00D637B1"/>
    <w:rsid w:val="00D6570B"/>
    <w:rsid w:val="00D766C7"/>
    <w:rsid w:val="00DA043B"/>
    <w:rsid w:val="00DA4BE0"/>
    <w:rsid w:val="00DC2B9B"/>
    <w:rsid w:val="00DE0323"/>
    <w:rsid w:val="00DE26D3"/>
    <w:rsid w:val="00DE6372"/>
    <w:rsid w:val="00E02B61"/>
    <w:rsid w:val="00E10C72"/>
    <w:rsid w:val="00E231BD"/>
    <w:rsid w:val="00E87107"/>
    <w:rsid w:val="00EC392C"/>
    <w:rsid w:val="00EC7595"/>
    <w:rsid w:val="00EF4342"/>
    <w:rsid w:val="00F17B07"/>
    <w:rsid w:val="00F263F5"/>
    <w:rsid w:val="00F55166"/>
    <w:rsid w:val="00F6240E"/>
    <w:rsid w:val="00F67154"/>
    <w:rsid w:val="00F77FA8"/>
    <w:rsid w:val="00F83FCC"/>
    <w:rsid w:val="00F85D3B"/>
    <w:rsid w:val="00F94541"/>
    <w:rsid w:val="00F9794E"/>
    <w:rsid w:val="00FA2E03"/>
    <w:rsid w:val="00FB7680"/>
    <w:rsid w:val="00FC4626"/>
    <w:rsid w:val="00FC6B47"/>
    <w:rsid w:val="00FE170A"/>
    <w:rsid w:val="00FE2942"/>
    <w:rsid w:val="00FF3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FE89A50"/>
  <w15:chartTrackingRefBased/>
  <w15:docId w15:val="{C3298FB3-5D42-4AC5-B10B-6173A466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70"/>
    <w:pPr>
      <w:spacing w:before="120" w:after="12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rsid w:val="00694A6E"/>
    <w:pPr>
      <w:keepNext/>
      <w:numPr>
        <w:numId w:val="12"/>
      </w:numPr>
      <w:tabs>
        <w:tab w:val="left" w:pos="567"/>
      </w:tabs>
      <w:spacing w:before="360" w:after="360"/>
      <w:outlineLvl w:val="0"/>
    </w:pPr>
    <w:rPr>
      <w:b/>
      <w:smallCaps/>
      <w:color w:val="286EB4"/>
      <w:sz w:val="32"/>
    </w:rPr>
  </w:style>
  <w:style w:type="paragraph" w:styleId="Heading2">
    <w:name w:val="heading 2"/>
    <w:basedOn w:val="Normal"/>
    <w:next w:val="Normal"/>
    <w:link w:val="Heading2Char"/>
    <w:uiPriority w:val="9"/>
    <w:unhideWhenUsed/>
    <w:qFormat/>
    <w:rsid w:val="00A6332B"/>
    <w:pPr>
      <w:keepNext/>
      <w:keepLines/>
      <w:numPr>
        <w:ilvl w:val="1"/>
        <w:numId w:val="12"/>
      </w:numPr>
      <w:spacing w:before="36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6332B"/>
    <w:pPr>
      <w:keepNext/>
      <w:keepLines/>
      <w:spacing w:before="360"/>
      <w:outlineLvl w:val="2"/>
    </w:pPr>
    <w:rPr>
      <w:rFonts w:eastAsiaTheme="majorEastAsia"/>
      <w:i/>
      <w:szCs w:val="24"/>
    </w:rPr>
  </w:style>
  <w:style w:type="paragraph" w:styleId="Heading4">
    <w:name w:val="heading 4"/>
    <w:basedOn w:val="Normal"/>
    <w:next w:val="Normal"/>
    <w:link w:val="Heading4Char"/>
    <w:uiPriority w:val="9"/>
    <w:semiHidden/>
    <w:unhideWhenUsed/>
    <w:qFormat/>
    <w:rsid w:val="009159EF"/>
    <w:pPr>
      <w:keepNext/>
      <w:keepLines/>
      <w:numPr>
        <w:ilvl w:val="3"/>
        <w:numId w:val="12"/>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159EF"/>
    <w:pPr>
      <w:keepNext/>
      <w:keepLines/>
      <w:numPr>
        <w:ilvl w:val="4"/>
        <w:numId w:val="12"/>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9EF"/>
    <w:pPr>
      <w:keepNext/>
      <w:keepLines/>
      <w:numPr>
        <w:ilvl w:val="5"/>
        <w:numId w:val="1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159EF"/>
    <w:pPr>
      <w:keepNext/>
      <w:keepLines/>
      <w:numPr>
        <w:ilvl w:val="6"/>
        <w:numId w:val="1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159EF"/>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59EF"/>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99"/>
    <w:rsid w:val="00B51BC9"/>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uiPriority w:val="99"/>
    <w:rsid w:val="00B51BC9"/>
    <w:pPr>
      <w:widowControl w:val="0"/>
      <w:autoSpaceDE w:val="0"/>
      <w:autoSpaceDN w:val="0"/>
      <w:spacing w:after="0"/>
      <w:ind w:right="85"/>
      <w:jc w:val="left"/>
    </w:pPr>
    <w:rPr>
      <w:rFonts w:ascii="Arial" w:hAnsi="Arial" w:cs="Arial"/>
      <w:sz w:val="16"/>
      <w:szCs w:val="16"/>
      <w:lang w:eastAsia="en-GB"/>
    </w:rPr>
  </w:style>
  <w:style w:type="paragraph" w:customStyle="1" w:styleId="NoteHead">
    <w:name w:val="NoteHead"/>
    <w:basedOn w:val="Normal"/>
    <w:next w:val="Normal"/>
    <w:uiPriority w:val="99"/>
    <w:rsid w:val="00B51BC9"/>
    <w:pPr>
      <w:spacing w:before="720" w:after="720"/>
      <w:jc w:val="center"/>
    </w:pPr>
    <w:rPr>
      <w:b/>
      <w:smallCaps/>
    </w:rPr>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rsid w:val="00B51BC9"/>
    <w:pPr>
      <w:ind w:left="720"/>
      <w:contextualSpacing/>
    </w:pPr>
  </w:style>
  <w:style w:type="character" w:styleId="Hyperlink">
    <w:name w:val="Hyperlink"/>
    <w:basedOn w:val="DefaultParagraphFont"/>
    <w:rsid w:val="00E231BD"/>
    <w:rPr>
      <w:rFonts w:cs="Times New Roman"/>
      <w:color w:val="0000FF"/>
      <w:u w:val="single"/>
    </w:r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link w:val="ListParagraph"/>
    <w:uiPriority w:val="34"/>
    <w:locked/>
    <w:rsid w:val="00E231BD"/>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E231BD"/>
    <w:rPr>
      <w:sz w:val="16"/>
      <w:szCs w:val="16"/>
    </w:rPr>
  </w:style>
  <w:style w:type="paragraph" w:styleId="CommentText">
    <w:name w:val="annotation text"/>
    <w:basedOn w:val="Normal"/>
    <w:link w:val="CommentTextChar"/>
    <w:uiPriority w:val="99"/>
    <w:unhideWhenUsed/>
    <w:rsid w:val="00E231BD"/>
    <w:rPr>
      <w:sz w:val="20"/>
    </w:rPr>
  </w:style>
  <w:style w:type="character" w:customStyle="1" w:styleId="CommentTextChar">
    <w:name w:val="Comment Text Char"/>
    <w:basedOn w:val="DefaultParagraphFont"/>
    <w:link w:val="CommentText"/>
    <w:uiPriority w:val="99"/>
    <w:rsid w:val="00E231B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31BD"/>
    <w:rPr>
      <w:b/>
      <w:bCs/>
    </w:rPr>
  </w:style>
  <w:style w:type="character" w:customStyle="1" w:styleId="CommentSubjectChar">
    <w:name w:val="Comment Subject Char"/>
    <w:basedOn w:val="CommentTextChar"/>
    <w:link w:val="CommentSubject"/>
    <w:uiPriority w:val="99"/>
    <w:semiHidden/>
    <w:rsid w:val="00E231B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231B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1BD"/>
    <w:rPr>
      <w:rFonts w:ascii="Segoe UI" w:eastAsia="Times New Roman" w:hAnsi="Segoe UI" w:cs="Segoe UI"/>
      <w:sz w:val="18"/>
      <w:szCs w:val="18"/>
    </w:rPr>
  </w:style>
  <w:style w:type="paragraph" w:styleId="Header">
    <w:name w:val="header"/>
    <w:basedOn w:val="Normal"/>
    <w:link w:val="HeaderChar"/>
    <w:uiPriority w:val="99"/>
    <w:unhideWhenUsed/>
    <w:rsid w:val="00C30EC4"/>
    <w:pPr>
      <w:tabs>
        <w:tab w:val="center" w:pos="4513"/>
        <w:tab w:val="right" w:pos="9026"/>
      </w:tabs>
      <w:spacing w:before="0" w:after="0"/>
    </w:pPr>
  </w:style>
  <w:style w:type="character" w:customStyle="1" w:styleId="HeaderChar">
    <w:name w:val="Header Char"/>
    <w:basedOn w:val="DefaultParagraphFont"/>
    <w:link w:val="Header"/>
    <w:uiPriority w:val="99"/>
    <w:rsid w:val="00C30EC4"/>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30EC4"/>
    <w:pPr>
      <w:tabs>
        <w:tab w:val="center" w:pos="4513"/>
        <w:tab w:val="right" w:pos="9026"/>
      </w:tabs>
      <w:spacing w:before="0" w:after="0"/>
    </w:pPr>
  </w:style>
  <w:style w:type="character" w:customStyle="1" w:styleId="FooterChar">
    <w:name w:val="Footer Char"/>
    <w:basedOn w:val="DefaultParagraphFont"/>
    <w:link w:val="Footer"/>
    <w:uiPriority w:val="99"/>
    <w:rsid w:val="00C30EC4"/>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897523"/>
    <w:pPr>
      <w:spacing w:before="0" w:after="0"/>
    </w:pPr>
    <w:rPr>
      <w:sz w:val="20"/>
    </w:rPr>
  </w:style>
  <w:style w:type="character" w:customStyle="1" w:styleId="FootnoteTextChar">
    <w:name w:val="Footnote Text Char"/>
    <w:basedOn w:val="DefaultParagraphFont"/>
    <w:link w:val="FootnoteText"/>
    <w:uiPriority w:val="99"/>
    <w:semiHidden/>
    <w:rsid w:val="0089752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97523"/>
    <w:rPr>
      <w:vertAlign w:val="superscript"/>
    </w:rPr>
  </w:style>
  <w:style w:type="paragraph" w:styleId="Revision">
    <w:name w:val="Revision"/>
    <w:hidden/>
    <w:uiPriority w:val="99"/>
    <w:semiHidden/>
    <w:rsid w:val="00632CAA"/>
    <w:pPr>
      <w:spacing w:after="0" w:line="240" w:lineRule="auto"/>
    </w:pPr>
    <w:rPr>
      <w:rFonts w:ascii="Times New Roman" w:eastAsia="Times New Roman" w:hAnsi="Times New Roman" w:cs="Times New Roman"/>
      <w:sz w:val="24"/>
      <w:szCs w:val="20"/>
    </w:rPr>
  </w:style>
  <w:style w:type="paragraph" w:customStyle="1" w:styleId="AddressTR">
    <w:name w:val="AddressTR"/>
    <w:basedOn w:val="Normal"/>
    <w:next w:val="Normal"/>
    <w:uiPriority w:val="99"/>
    <w:rsid w:val="00964FFD"/>
    <w:pPr>
      <w:spacing w:after="720"/>
      <w:ind w:left="5103"/>
      <w:jc w:val="left"/>
    </w:pPr>
  </w:style>
  <w:style w:type="paragraph" w:styleId="Date">
    <w:name w:val="Date"/>
    <w:basedOn w:val="Normal"/>
    <w:next w:val="Normal"/>
    <w:link w:val="DateChar"/>
    <w:uiPriority w:val="99"/>
    <w:rsid w:val="00964FFD"/>
    <w:pPr>
      <w:spacing w:after="0"/>
      <w:ind w:left="5103" w:right="-567"/>
      <w:jc w:val="left"/>
    </w:pPr>
  </w:style>
  <w:style w:type="character" w:customStyle="1" w:styleId="DateChar">
    <w:name w:val="Date Char"/>
    <w:basedOn w:val="DefaultParagraphFont"/>
    <w:link w:val="Date"/>
    <w:uiPriority w:val="99"/>
    <w:rsid w:val="00964FFD"/>
    <w:rPr>
      <w:rFonts w:ascii="Times New Roman" w:eastAsia="Times New Roman" w:hAnsi="Times New Roman" w:cs="Times New Roman"/>
      <w:sz w:val="24"/>
      <w:szCs w:val="20"/>
    </w:rPr>
  </w:style>
  <w:style w:type="paragraph" w:customStyle="1" w:styleId="Subject">
    <w:name w:val="Subject"/>
    <w:basedOn w:val="Normal"/>
    <w:next w:val="Normal"/>
    <w:rsid w:val="00964FFD"/>
    <w:pPr>
      <w:spacing w:after="480"/>
      <w:ind w:left="1531" w:hanging="1531"/>
      <w:jc w:val="left"/>
    </w:pPr>
    <w:rPr>
      <w:b/>
    </w:rPr>
  </w:style>
  <w:style w:type="table" w:styleId="TableGrid">
    <w:name w:val="Table Grid"/>
    <w:basedOn w:val="TableNormal"/>
    <w:uiPriority w:val="59"/>
    <w:rsid w:val="00391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94A6E"/>
    <w:rPr>
      <w:rFonts w:ascii="Times New Roman" w:eastAsia="Times New Roman" w:hAnsi="Times New Roman" w:cs="Times New Roman"/>
      <w:b/>
      <w:smallCaps/>
      <w:color w:val="286EB4"/>
      <w:sz w:val="32"/>
      <w:szCs w:val="20"/>
    </w:rPr>
  </w:style>
  <w:style w:type="paragraph" w:customStyle="1" w:styleId="Text1">
    <w:name w:val="Text 1"/>
    <w:basedOn w:val="Normal"/>
    <w:link w:val="Text1Char"/>
    <w:rsid w:val="003E1966"/>
    <w:pPr>
      <w:ind w:left="482"/>
    </w:pPr>
  </w:style>
  <w:style w:type="character" w:customStyle="1" w:styleId="Text1Char">
    <w:name w:val="Text 1 Char"/>
    <w:basedOn w:val="DefaultParagraphFont"/>
    <w:link w:val="Text1"/>
    <w:rsid w:val="003E1966"/>
    <w:rPr>
      <w:rFonts w:ascii="Times New Roman" w:eastAsia="Times New Roman" w:hAnsi="Times New Roman" w:cs="Times New Roman"/>
      <w:sz w:val="24"/>
      <w:szCs w:val="20"/>
    </w:rPr>
  </w:style>
  <w:style w:type="paragraph" w:styleId="Title">
    <w:name w:val="Title"/>
    <w:basedOn w:val="Normal"/>
    <w:next w:val="Normal"/>
    <w:link w:val="TitleChar"/>
    <w:uiPriority w:val="10"/>
    <w:qFormat/>
    <w:rsid w:val="00E87107"/>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10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2A2537"/>
    <w:pPr>
      <w:keepLines/>
      <w:numPr>
        <w:numId w:val="0"/>
      </w:numPr>
      <w:tabs>
        <w:tab w:val="clear" w:pos="567"/>
      </w:tabs>
      <w:spacing w:after="0" w:line="259" w:lineRule="auto"/>
      <w:jc w:val="left"/>
      <w:outlineLvl w:val="9"/>
    </w:pPr>
    <w:rPr>
      <w:rFonts w:asciiTheme="majorHAnsi" w:eastAsiaTheme="majorEastAsia" w:hAnsiTheme="majorHAnsi" w:cstheme="majorBidi"/>
      <w:b w:val="0"/>
      <w:smallCaps w:val="0"/>
      <w:color w:val="365F91" w:themeColor="accent1" w:themeShade="BF"/>
      <w:szCs w:val="32"/>
      <w:lang w:val="en-US"/>
    </w:rPr>
  </w:style>
  <w:style w:type="paragraph" w:styleId="TOC1">
    <w:name w:val="toc 1"/>
    <w:basedOn w:val="Normal"/>
    <w:next w:val="Normal"/>
    <w:autoRedefine/>
    <w:uiPriority w:val="39"/>
    <w:unhideWhenUsed/>
    <w:rsid w:val="002A2537"/>
    <w:pPr>
      <w:spacing w:after="100"/>
    </w:pPr>
  </w:style>
  <w:style w:type="paragraph" w:customStyle="1" w:styleId="Considrant">
    <w:name w:val="Considérant"/>
    <w:basedOn w:val="Normal"/>
    <w:rsid w:val="005C7AC2"/>
    <w:pPr>
      <w:numPr>
        <w:numId w:val="4"/>
      </w:numPr>
    </w:pPr>
    <w:rPr>
      <w:rFonts w:eastAsiaTheme="minorHAnsi"/>
      <w:szCs w:val="22"/>
    </w:rPr>
  </w:style>
  <w:style w:type="character" w:customStyle="1" w:styleId="Heading2Char">
    <w:name w:val="Heading 2 Char"/>
    <w:basedOn w:val="DefaultParagraphFont"/>
    <w:link w:val="Heading2"/>
    <w:uiPriority w:val="9"/>
    <w:rsid w:val="00A6332B"/>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A6332B"/>
    <w:rPr>
      <w:rFonts w:ascii="Times New Roman" w:eastAsiaTheme="majorEastAsia" w:hAnsi="Times New Roman" w:cs="Times New Roman"/>
      <w:i/>
      <w:sz w:val="24"/>
      <w:szCs w:val="24"/>
    </w:rPr>
  </w:style>
  <w:style w:type="character" w:customStyle="1" w:styleId="Heading4Char">
    <w:name w:val="Heading 4 Char"/>
    <w:basedOn w:val="DefaultParagraphFont"/>
    <w:link w:val="Heading4"/>
    <w:uiPriority w:val="9"/>
    <w:semiHidden/>
    <w:rsid w:val="009159EF"/>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semiHidden/>
    <w:rsid w:val="009159EF"/>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semiHidden/>
    <w:rsid w:val="009159EF"/>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semiHidden/>
    <w:rsid w:val="009159EF"/>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semiHidden/>
    <w:rsid w:val="009159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59EF"/>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semiHidden/>
    <w:unhideWhenUsed/>
    <w:rsid w:val="00694A6E"/>
    <w:pPr>
      <w:spacing w:before="0" w:after="0"/>
    </w:pPr>
    <w:rPr>
      <w:sz w:val="20"/>
    </w:rPr>
  </w:style>
  <w:style w:type="character" w:customStyle="1" w:styleId="EndnoteTextChar">
    <w:name w:val="Endnote Text Char"/>
    <w:basedOn w:val="DefaultParagraphFont"/>
    <w:link w:val="EndnoteText"/>
    <w:uiPriority w:val="99"/>
    <w:semiHidden/>
    <w:rsid w:val="00694A6E"/>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94A6E"/>
    <w:rPr>
      <w:vertAlign w:val="superscript"/>
    </w:rPr>
  </w:style>
  <w:style w:type="character" w:styleId="UnresolvedMention">
    <w:name w:val="Unresolved Mention"/>
    <w:basedOn w:val="DefaultParagraphFont"/>
    <w:uiPriority w:val="99"/>
    <w:semiHidden/>
    <w:unhideWhenUsed/>
    <w:rsid w:val="00C57614"/>
    <w:rPr>
      <w:color w:val="605E5C"/>
      <w:shd w:val="clear" w:color="auto" w:fill="E1DFDD"/>
    </w:rPr>
  </w:style>
  <w:style w:type="paragraph" w:styleId="NormalWeb">
    <w:name w:val="Normal (Web)"/>
    <w:basedOn w:val="Normal"/>
    <w:uiPriority w:val="99"/>
    <w:unhideWhenUsed/>
    <w:rsid w:val="004B29B4"/>
    <w:pPr>
      <w:spacing w:before="100" w:beforeAutospacing="1" w:after="100" w:afterAutospacing="1"/>
      <w:jc w:val="left"/>
    </w:pPr>
    <w:rPr>
      <w:szCs w:val="24"/>
      <w:lang w:eastAsia="en-GB"/>
    </w:rPr>
  </w:style>
  <w:style w:type="paragraph" w:customStyle="1" w:styleId="ecl-u-type-paragraph">
    <w:name w:val="ecl-u-type-paragraph"/>
    <w:basedOn w:val="Normal"/>
    <w:rsid w:val="004B29B4"/>
    <w:pPr>
      <w:spacing w:before="100" w:beforeAutospacing="1" w:after="100" w:afterAutospacing="1"/>
      <w:jc w:val="left"/>
    </w:pPr>
    <w:rPr>
      <w:szCs w:val="24"/>
      <w:lang w:eastAsia="en-GB"/>
    </w:rPr>
  </w:style>
  <w:style w:type="character" w:styleId="FollowedHyperlink">
    <w:name w:val="FollowedHyperlink"/>
    <w:basedOn w:val="DefaultParagraphFont"/>
    <w:uiPriority w:val="99"/>
    <w:semiHidden/>
    <w:unhideWhenUsed/>
    <w:rsid w:val="00C974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6549">
      <w:bodyDiv w:val="1"/>
      <w:marLeft w:val="0"/>
      <w:marRight w:val="0"/>
      <w:marTop w:val="0"/>
      <w:marBottom w:val="0"/>
      <w:divBdr>
        <w:top w:val="none" w:sz="0" w:space="0" w:color="auto"/>
        <w:left w:val="none" w:sz="0" w:space="0" w:color="auto"/>
        <w:bottom w:val="none" w:sz="0" w:space="0" w:color="auto"/>
        <w:right w:val="none" w:sz="0" w:space="0" w:color="auto"/>
      </w:divBdr>
    </w:div>
    <w:div w:id="198131979">
      <w:bodyDiv w:val="1"/>
      <w:marLeft w:val="0"/>
      <w:marRight w:val="0"/>
      <w:marTop w:val="0"/>
      <w:marBottom w:val="0"/>
      <w:divBdr>
        <w:top w:val="none" w:sz="0" w:space="0" w:color="auto"/>
        <w:left w:val="none" w:sz="0" w:space="0" w:color="auto"/>
        <w:bottom w:val="none" w:sz="0" w:space="0" w:color="auto"/>
        <w:right w:val="none" w:sz="0" w:space="0" w:color="auto"/>
      </w:divBdr>
    </w:div>
    <w:div w:id="379670409">
      <w:bodyDiv w:val="1"/>
      <w:marLeft w:val="0"/>
      <w:marRight w:val="0"/>
      <w:marTop w:val="0"/>
      <w:marBottom w:val="0"/>
      <w:divBdr>
        <w:top w:val="none" w:sz="0" w:space="0" w:color="auto"/>
        <w:left w:val="none" w:sz="0" w:space="0" w:color="auto"/>
        <w:bottom w:val="none" w:sz="0" w:space="0" w:color="auto"/>
        <w:right w:val="none" w:sz="0" w:space="0" w:color="auto"/>
      </w:divBdr>
    </w:div>
    <w:div w:id="1254775818">
      <w:bodyDiv w:val="1"/>
      <w:marLeft w:val="0"/>
      <w:marRight w:val="0"/>
      <w:marTop w:val="0"/>
      <w:marBottom w:val="0"/>
      <w:divBdr>
        <w:top w:val="none" w:sz="0" w:space="0" w:color="auto"/>
        <w:left w:val="none" w:sz="0" w:space="0" w:color="auto"/>
        <w:bottom w:val="none" w:sz="0" w:space="0" w:color="auto"/>
        <w:right w:val="none" w:sz="0" w:space="0" w:color="auto"/>
      </w:divBdr>
    </w:div>
    <w:div w:id="1378161814">
      <w:bodyDiv w:val="1"/>
      <w:marLeft w:val="0"/>
      <w:marRight w:val="0"/>
      <w:marTop w:val="0"/>
      <w:marBottom w:val="0"/>
      <w:divBdr>
        <w:top w:val="none" w:sz="0" w:space="0" w:color="auto"/>
        <w:left w:val="none" w:sz="0" w:space="0" w:color="auto"/>
        <w:bottom w:val="none" w:sz="0" w:space="0" w:color="auto"/>
        <w:right w:val="none" w:sz="0" w:space="0" w:color="auto"/>
      </w:divBdr>
    </w:div>
    <w:div w:id="1468166372">
      <w:bodyDiv w:val="1"/>
      <w:marLeft w:val="0"/>
      <w:marRight w:val="0"/>
      <w:marTop w:val="0"/>
      <w:marBottom w:val="0"/>
      <w:divBdr>
        <w:top w:val="none" w:sz="0" w:space="0" w:color="auto"/>
        <w:left w:val="none" w:sz="0" w:space="0" w:color="auto"/>
        <w:bottom w:val="none" w:sz="0" w:space="0" w:color="auto"/>
        <w:right w:val="none" w:sz="0" w:space="0" w:color="auto"/>
      </w:divBdr>
      <w:divsChild>
        <w:div w:id="1617954524">
          <w:marLeft w:val="0"/>
          <w:marRight w:val="0"/>
          <w:marTop w:val="0"/>
          <w:marBottom w:val="0"/>
          <w:divBdr>
            <w:top w:val="none" w:sz="0" w:space="0" w:color="auto"/>
            <w:left w:val="none" w:sz="0" w:space="0" w:color="auto"/>
            <w:bottom w:val="none" w:sz="0" w:space="0" w:color="auto"/>
            <w:right w:val="none" w:sz="0" w:space="0" w:color="auto"/>
          </w:divBdr>
          <w:divsChild>
            <w:div w:id="254674777">
              <w:marLeft w:val="0"/>
              <w:marRight w:val="0"/>
              <w:marTop w:val="0"/>
              <w:marBottom w:val="0"/>
              <w:divBdr>
                <w:top w:val="none" w:sz="0" w:space="0" w:color="auto"/>
                <w:left w:val="none" w:sz="0" w:space="0" w:color="auto"/>
                <w:bottom w:val="none" w:sz="0" w:space="0" w:color="auto"/>
                <w:right w:val="none" w:sz="0" w:space="0" w:color="auto"/>
              </w:divBdr>
            </w:div>
          </w:divsChild>
        </w:div>
        <w:div w:id="106703987">
          <w:marLeft w:val="0"/>
          <w:marRight w:val="0"/>
          <w:marTop w:val="0"/>
          <w:marBottom w:val="0"/>
          <w:divBdr>
            <w:top w:val="none" w:sz="0" w:space="0" w:color="auto"/>
            <w:left w:val="none" w:sz="0" w:space="0" w:color="auto"/>
            <w:bottom w:val="none" w:sz="0" w:space="0" w:color="auto"/>
            <w:right w:val="none" w:sz="0" w:space="0" w:color="auto"/>
          </w:divBdr>
          <w:divsChild>
            <w:div w:id="6804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D7ED25.59E5953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Fernando.Diaz-Alonso@ec.europa.e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ircabc.europa.e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2BCFF6E-A975-40BB-BDA5-E6E430CF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1891</Words>
  <Characters>9817</Characters>
  <Application>Microsoft Office Word</Application>
  <DocSecurity>0</DocSecurity>
  <Lines>426</Lines>
  <Paragraphs>365</Paragraphs>
  <ScaleCrop>false</ScaleCrop>
  <HeadingPairs>
    <vt:vector size="2" baseType="variant">
      <vt:variant>
        <vt:lpstr>Title</vt:lpstr>
      </vt:variant>
      <vt:variant>
        <vt:i4>1</vt:i4>
      </vt:variant>
    </vt:vector>
  </HeadingPairs>
  <TitlesOfParts>
    <vt:vector size="1" baseType="lpstr">
      <vt:lpstr/>
    </vt:vector>
  </TitlesOfParts>
  <Company>European Commission - Eurostat</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ALONSO Fernando (ESTAT);Marek.STURC@ec.europa.eu</dc:creator>
  <cp:keywords/>
  <dc:description/>
  <cp:lastModifiedBy>DIAZ ALONSO Fernando (ESTAT)</cp:lastModifiedBy>
  <cp:revision>40</cp:revision>
  <dcterms:created xsi:type="dcterms:W3CDTF">2024-03-11T07:33:00Z</dcterms:created>
  <dcterms:modified xsi:type="dcterms:W3CDTF">2024-03-13T09:37:00Z</dcterms:modified>
  <cp:category>Energy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2024-03-11T12:30:05Z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58aeeead-ec92-42bd-80fb-b9f9dd77f568</vt:lpwstr>
  </property>
  <property fmtid="{D5CDD505-2E9C-101B-9397-08002B2CF9AE}" pid="8" name="MSIP_Label_6bd9ddd1-4d20-43f6-abfa-fc3c07406f94_ContentBits">
    <vt:lpwstr>0</vt:lpwstr>
  </property>
</Properties>
</file>